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600"/>
      </w:pPr>
      <w:r>
        <w:rPr>
          <w:rFonts w:ascii="Arial" w:cs="Arial" w:eastAsia="Arial" w:hAnsi="Arial"/>
          <w:b/>
          <w:bCs/>
          <w:color w:val="0F7C8C"/>
          <w:sz w:val="22"/>
          <w:szCs w:val="22"/>
        </w:rPr>
        <w:t xml:space="preserve">E-PRESS KIT · HỒ SƠ BÁO CHÍ</w:t>
      </w:r>
    </w:p>
    <w:p>
      <w:pPr>
        <w:spacing w:after="160"/>
        <w:jc w:val="left"/>
      </w:pPr>
      <w:r>
        <w:drawing>
          <wp:inline distT="0" distB="0" distL="0" distR="0">
            <wp:extent cx="1428750" cy="1428750"/>
            <wp:effectExtent t="0" r="0" b="0" l="0"/>
            <wp:docPr id="1" name="portrait" descr="Portrait" title="Huu Trung Qu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1428750"/>
                    </a:xfrm>
                    <a:prstGeom prst="rect">
                      <a:avLst/>
                    </a:prstGeom>
                  </pic:spPr>
                </pic:pic>
              </a:graphicData>
            </a:graphic>
          </wp:inline>
        </w:drawing>
      </w:r>
    </w:p>
    <w:p>
      <w:pPr>
        <w:spacing w:after="60"/>
      </w:pPr>
      <w:r>
        <w:rPr>
          <w:rFonts w:ascii="Arial" w:cs="Arial" w:eastAsia="Arial" w:hAnsi="Arial"/>
          <w:b/>
          <w:bCs/>
          <w:color w:val="1F3864"/>
          <w:sz w:val="48"/>
          <w:szCs w:val="48"/>
        </w:rPr>
        <w:t xml:space="preserve">TTƯT. TS. BS Quách Hữu Trung</w:t>
      </w:r>
    </w:p>
    <w:p>
      <w:pPr>
        <w:spacing w:after="200"/>
      </w:pPr>
      <w:r>
        <w:rPr>
          <w:rFonts w:ascii="Arial" w:cs="Arial" w:eastAsia="Arial" w:hAnsi="Arial"/>
          <w:color w:val="1F3864"/>
          <w:sz w:val="32"/>
          <w:szCs w:val="32"/>
        </w:rPr>
        <w:t xml:space="preserve">Huu Trung Quach, MD, PhD</w:t>
      </w:r>
    </w:p>
    <w:p>
      <w:pPr>
        <w:pBdr>
          <w:bottom w:val="single" w:color="0F7C8C" w:sz="12" w:space="1"/>
        </w:pBdr>
        <w:spacing w:after="240"/>
      </w:pPr>
    </w:p>
    <w:p>
      <w:pPr>
        <w:spacing w:after="120" w:line="300"/>
      </w:pPr>
      <w:r>
        <w:rPr>
          <w:rFonts w:ascii="Arial" w:cs="Arial" w:eastAsia="Arial" w:hAnsi="Arial"/>
          <w:b/>
          <w:bCs/>
          <w:sz w:val="24"/>
          <w:szCs w:val="24"/>
        </w:rPr>
        <w:t xml:space="preserve">Giám đốc Bệnh viện Đa khoa Quốc tế Vinmec Đà Nẵng</w:t>
      </w:r>
    </w:p>
    <w:p>
      <w:pPr>
        <w:spacing w:after="120" w:line="300"/>
      </w:pPr>
      <w:r>
        <w:rPr>
          <w:rFonts w:ascii="Arial" w:cs="Arial" w:eastAsia="Arial" w:hAnsi="Arial"/>
          <w:color w:val="666666"/>
          <w:sz w:val="22"/>
          <w:szCs w:val="22"/>
        </w:rPr>
        <w:t xml:space="preserve">Bác sĩ Nội khoa – Tim mạch · Nhà quản trị y tế · Chuyển đổi số và đổi mới sáng tạo</w:t>
      </w:r>
    </w:p>
    <w:p>
      <w:pPr>
        <w:spacing w:before="900"/>
      </w:pPr>
      <w:r>
        <w:rPr>
          <w:rFonts w:ascii="Arial" w:cs="Arial" w:eastAsia="Arial" w:hAnsi="Arial"/>
          <w:color w:val="666666"/>
          <w:sz w:val="18"/>
          <w:szCs w:val="18"/>
        </w:rPr>
        <w:t xml:space="preserve">Song ngữ Việt – Anh · Phiên bản 10/2026 · </w:t>
      </w:r>
      <w:hyperlink w:history="1" r:id="rIdpprlmfkk8llofdd0x_udm">
        <w:r>
          <w:rPr>
            <w:rFonts w:ascii="Arial" w:cs="Arial" w:eastAsia="Arial" w:hAnsi="Arial"/>
            <w:color w:val="0C5F69"/>
            <w:u w:val="single"/>
          </w:rPr>
          <w:t xml:space="preserve">huutrungquach.com</w:t>
        </w:r>
      </w:hyperlink>
    </w:p>
    <w:p>
      <w:pPr>
        <w:spacing w:after="120" w:line="300"/>
      </w:pPr>
      <w:r>
        <w:rPr>
          <w:rFonts w:ascii="Arial" w:cs="Arial" w:eastAsia="Arial" w:hAnsi="Arial"/>
          <w:color w:val="666666"/>
          <w:sz w:val="18"/>
          <w:szCs w:val="18"/>
        </w:rPr>
        <w:t xml:space="preserve">Phần I: Tiếng Việt (trang 2–5) · Part II: English (from page 6)</w:t>
      </w:r>
    </w:p>
    <w:p>
      <w:r>
        <w:br w:type="page"/>
      </w:r>
    </w:p>
    <w:p>
      <w:pPr>
        <w:pStyle w:val="Heading1"/>
        <w:spacing w:after="140" w:before="320"/>
      </w:pPr>
      <w:r>
        <w:rPr>
          <w:rFonts w:ascii="Arial" w:cs="Arial" w:eastAsia="Arial" w:hAnsi="Arial"/>
        </w:rPr>
        <w:t xml:space="preserve">1. Thông tin nhanh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cantSplit/>
          <w:tblHeader/>
        </w:trPr>
        <w:tc>
          <w:tcPr>
            <w:tcW w:type="dxa" w:w="2600"/>
            <w:tcBorders>
              <w:top w:val="single" w:color="BFBFBF" w:sz="4"/>
              <w:left w:val="single" w:color="BFBFBF" w:sz="4"/>
              <w:bottom w:val="single" w:color="BFBFBF" w:sz="4"/>
              <w:right w:val="single" w:color="BFBFBF" w:sz="4"/>
            </w:tcBorders>
            <w:shd w:fill="1F3864" w:color="auto" w:val="clear"/>
            <w:tcMar>
              <w:top w:type="dxa" w:w="70"/>
              <w:left w:type="dxa" w:w="100"/>
              <w:bottom w:type="dxa" w:w="70"/>
              <w:right w:type="dxa" w:w="100"/>
            </w:tcMar>
          </w:tcPr>
          <w:p>
            <w:pPr>
              <w:spacing w:after="30"/>
            </w:pPr>
            <w:r>
              <w:rPr>
                <w:rFonts w:ascii="Arial" w:cs="Arial" w:eastAsia="Arial" w:hAnsi="Arial"/>
                <w:b/>
                <w:bCs/>
                <w:color w:val="FFFFFF"/>
                <w:sz w:val="18"/>
                <w:szCs w:val="18"/>
              </w:rPr>
              <w:t xml:space="preserve">Mục</w:t>
            </w:r>
          </w:p>
        </w:tc>
        <w:tc>
          <w:tcPr>
            <w:tcW w:type="dxa" w:w="6426"/>
            <w:tcBorders>
              <w:top w:val="single" w:color="BFBFBF" w:sz="4"/>
              <w:left w:val="single" w:color="BFBFBF" w:sz="4"/>
              <w:bottom w:val="single" w:color="BFBFBF" w:sz="4"/>
              <w:right w:val="single" w:color="BFBFBF" w:sz="4"/>
            </w:tcBorders>
            <w:shd w:fill="1F3864" w:color="auto" w:val="clear"/>
            <w:tcMar>
              <w:top w:type="dxa" w:w="70"/>
              <w:left w:type="dxa" w:w="100"/>
              <w:bottom w:type="dxa" w:w="70"/>
              <w:right w:type="dxa" w:w="100"/>
            </w:tcMar>
          </w:tcPr>
          <w:p>
            <w:pPr>
              <w:spacing w:after="30"/>
            </w:pPr>
            <w:r>
              <w:rPr>
                <w:rFonts w:ascii="Arial" w:cs="Arial" w:eastAsia="Arial" w:hAnsi="Arial"/>
                <w:b/>
                <w:bCs/>
                <w:color w:val="FFFFFF"/>
                <w:sz w:val="18"/>
                <w:szCs w:val="18"/>
              </w:rPr>
              <w:t xml:space="preserve">Nội dung</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Họ và tên</w:t>
            </w:r>
          </w:p>
        </w:tc>
        <w:tc>
          <w:tcPr>
            <w:tcW w:type="dxa" w:w="64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Quách Hữu Trung</w:t>
            </w:r>
          </w:p>
        </w:tc>
      </w:tr>
      <w:tr>
        <w:trPr>
          <w:cantSplit/>
          <w:tblHeader w:val="off"/>
        </w:trPr>
        <w:tc>
          <w:tcPr>
            <w:tcW w:type="dxa" w:w="26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Danh xưng</w:t>
            </w:r>
          </w:p>
        </w:tc>
        <w:tc>
          <w:tcPr>
            <w:tcW w:type="dxa" w:w="64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TTƯT. TS. BS Quách Hữu Trung (tiếng Anh: Huu Trung Quach, MD, PhD)</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Chức vụ hiện tại</w:t>
            </w:r>
          </w:p>
        </w:tc>
        <w:tc>
          <w:tcPr>
            <w:tcW w:type="dxa" w:w="64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Giám đốc Bệnh viện Đa khoa Quốc tế Vinmec Đà Nẵng (từ 10/08/2025)</w:t>
            </w:r>
          </w:p>
        </w:tc>
      </w:tr>
      <w:tr>
        <w:trPr>
          <w:cantSplit/>
          <w:tblHeader w:val="off"/>
        </w:trPr>
        <w:tc>
          <w:tcPr>
            <w:tcW w:type="dxa" w:w="26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Chuyên môn</w:t>
            </w:r>
          </w:p>
        </w:tc>
        <w:tc>
          <w:tcPr>
            <w:tcW w:type="dxa" w:w="64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Nội khoa – Tim mạch; Nội tiết – Đái tháo đường; quản trị bệnh viện; y tế số</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Kinh nghiệm</w:t>
            </w:r>
          </w:p>
        </w:tc>
        <w:tc>
          <w:tcPr>
            <w:tcW w:type="dxa" w:w="64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Hơn 35 năm (từ 1989)</w:t>
            </w:r>
          </w:p>
        </w:tc>
      </w:tr>
      <w:tr>
        <w:trPr>
          <w:cantSplit/>
          <w:tblHeader w:val="off"/>
        </w:trPr>
        <w:tc>
          <w:tcPr>
            <w:tcW w:type="dxa" w:w="26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Học vị</w:t>
            </w:r>
          </w:p>
        </w:tc>
        <w:tc>
          <w:tcPr>
            <w:tcW w:type="dxa" w:w="64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Tiến sĩ Y học – Viện Nghiên cứu Khoa học Y Dược lâm sàng 108 (2010–2014)</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Danh hiệu nhà nước</w:t>
            </w:r>
          </w:p>
        </w:tc>
        <w:tc>
          <w:tcPr>
            <w:tcW w:type="dxa" w:w="64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Thầy thuốc Ưu tú (2017) · Huân chương Chiến công hạng Ba (2022)</w:t>
            </w:r>
          </w:p>
        </w:tc>
      </w:tr>
      <w:tr>
        <w:trPr>
          <w:cantSplit/>
          <w:tblHeader w:val="off"/>
        </w:trPr>
        <w:tc>
          <w:tcPr>
            <w:tcW w:type="dxa" w:w="26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Nơi sinh</w:t>
            </w:r>
          </w:p>
        </w:tc>
        <w:tc>
          <w:tcPr>
            <w:tcW w:type="dxa" w:w="64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Hà Nội</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Liên hệ</w:t>
            </w:r>
          </w:p>
        </w:tc>
        <w:tc>
          <w:tcPr>
            <w:tcW w:type="dxa" w:w="64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huutrungquach.com (mục Liên hệ) · Thông tin về bệnh viện: Vinmec Đà Nẵng, 0236 3711 111</w:t>
            </w:r>
          </w:p>
        </w:tc>
      </w:tr>
    </w:tbl>
    <w:p>
      <w:pPr>
        <w:pStyle w:val="Heading1"/>
        <w:spacing w:after="140" w:before="320"/>
      </w:pPr>
      <w:r>
        <w:rPr>
          <w:rFonts w:ascii="Arial" w:cs="Arial" w:eastAsia="Arial" w:hAnsi="Arial"/>
        </w:rPr>
        <w:t xml:space="preserve">2. Tiểu sử</w:t>
      </w:r>
    </w:p>
    <w:p>
      <w:pPr>
        <w:pStyle w:val="Heading2"/>
        <w:spacing w:after="100" w:before="220"/>
      </w:pPr>
      <w:r>
        <w:rPr>
          <w:rFonts w:ascii="Arial" w:cs="Arial" w:eastAsia="Arial" w:hAnsi="Arial"/>
        </w:rPr>
        <w:t xml:space="preserve">Bản ngắn (khoảng 50 chữ) – dùng cho giới thiệu diễn giả, chú thích ảnh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BFBF" w:sz="4"/>
              <w:left w:val="single" w:color="B8962E" w:sz="18"/>
              <w:bottom w:val="single" w:color="BFBFBF" w:sz="4"/>
              <w:right w:val="single" w:color="BFBFBF" w:sz="4"/>
            </w:tcBorders>
            <w:tcMar>
              <w:top w:type="dxa" w:w="120"/>
              <w:left w:type="dxa" w:w="220"/>
              <w:bottom w:type="dxa" w:w="120"/>
              <w:right w:type="dxa" w:w="220"/>
            </w:tcMar>
          </w:tcPr>
          <w:p>
            <w:pPr>
              <w:spacing w:after="70" w:line="280"/>
            </w:pPr>
            <w:r>
              <w:rPr>
                <w:rFonts w:ascii="Arial" w:cs="Arial" w:eastAsia="Arial" w:hAnsi="Arial"/>
                <w:sz w:val="19"/>
                <w:szCs w:val="19"/>
              </w:rPr>
              <w:t xml:space="preserve">TTƯT. TS. BS Quách Hữu Trung là bác sĩ Nội khoa – Tim mạch và nhà quản trị y tế với hơn 35 năm kinh nghiệm. Ông hiện là Giám đốc Bệnh viện Đa khoa Quốc tế Vinmec Đà Nẵng (từ tháng 8/2025), nguyên Giám đốc Bệnh viện 199 – Bộ Công an (2019–2025), được vinh danh Lãnh đạo Chuyển đổi số tiêu biểu năm 2024.</w:t>
            </w:r>
          </w:p>
        </w:tc>
      </w:tr>
    </w:tbl>
    <w:p>
      <w:pPr>
        <w:pStyle w:val="Heading2"/>
        <w:spacing w:after="100" w:before="220"/>
      </w:pPr>
      <w:r>
        <w:rPr>
          <w:rFonts w:ascii="Arial" w:cs="Arial" w:eastAsia="Arial" w:hAnsi="Arial"/>
        </w:rPr>
        <w:t xml:space="preserve">Bản đầy đủ (khoảng 220 chữ) – dùng cho kỷ yếu, bài báo, hồ sơ đối tác</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BFBF" w:sz="4"/>
              <w:left w:val="single" w:color="B8962E" w:sz="18"/>
              <w:bottom w:val="single" w:color="BFBFBF" w:sz="4"/>
              <w:right w:val="single" w:color="BFBFBF" w:sz="4"/>
            </w:tcBorders>
            <w:tcMar>
              <w:top w:type="dxa" w:w="120"/>
              <w:left w:type="dxa" w:w="220"/>
              <w:bottom w:type="dxa" w:w="120"/>
              <w:right w:type="dxa" w:w="220"/>
            </w:tcMar>
          </w:tcPr>
          <w:p>
            <w:pPr>
              <w:spacing w:after="70" w:line="280"/>
            </w:pPr>
            <w:r>
              <w:rPr>
                <w:rFonts w:ascii="Arial" w:cs="Arial" w:eastAsia="Arial" w:hAnsi="Arial"/>
                <w:sz w:val="19"/>
                <w:szCs w:val="19"/>
              </w:rPr>
              <w:t xml:space="preserve">TTƯT. TS. BS Quách Hữu Trung là bác sĩ Nội khoa – Tim mạch và nhà quản trị y tế với hơn 35 năm kinh nghiệm trong y học lâm sàng, lãnh đạo bệnh viện, chuyển đổi số và đổi mới sáng tạo. Từ ngày 10/08/2025, ông là Giám đốc Bệnh viện Đa khoa Quốc tế Vinmec Đà Nẵng.</w:t>
            </w:r>
          </w:p>
          <w:p>
            <w:pPr>
              <w:spacing w:after="70" w:line="280"/>
            </w:pPr>
            <w:r>
              <w:rPr>
                <w:rFonts w:ascii="Arial" w:cs="Arial" w:eastAsia="Arial" w:hAnsi="Arial"/>
                <w:sz w:val="19"/>
                <w:szCs w:val="19"/>
              </w:rPr>
              <w:t xml:space="preserve">Ông có 26 năm công tác tại Bệnh viện 19-8 – Bộ Công an, từ bác sĩ, Phó khoa Tim mạch đến Trưởng khoa Nội tiết – Đái tháo đường, và nhận học vị Tiến sĩ tại Viện Nghiên cứu Khoa học Y Dược lâm sàng 108. Trên cương vị Giám đốc Bệnh viện 199 – Bộ Công an (2019–2025), ông dẫn dắt chuyển đổi số với phần mềm quản trị EDOC199, nền tảng tích hợp dữ liệu y tế, và khởi xướng 199VIH – Tổ hợp Đổi mới sáng tạo y tế ra mắt năm 2023 tại Đà Nẵng.</w:t>
            </w:r>
          </w:p>
          <w:p>
            <w:pPr>
              <w:spacing w:after="70" w:line="280"/>
            </w:pPr>
            <w:r>
              <w:rPr>
                <w:rFonts w:ascii="Arial" w:cs="Arial" w:eastAsia="Arial" w:hAnsi="Arial"/>
                <w:sz w:val="19"/>
                <w:szCs w:val="19"/>
              </w:rPr>
              <w:t xml:space="preserve">Tại Vinmec Đà Nẵng, ông tập trung phát triển chuyên môn sâu, hợp tác quốc tế với các đối tác Nhật Bản và Thái Lan, y học giấc ngủ, chăm sóc dự phòng – tuổi thọ khỏe mạnh và du lịch y tế miền Trung. Ông là Chủ tịch Chi hội Du lịch Y tế Đà Nẵng, Phó Tổng Biên tập Tạp chí Nội tiết – Đái tháo đường, được Nhà nước trao tặng danh hiệu Thầy thuốc Ưu tú (2017) và Huân chương Chiến công hạng Ba (2022).</w:t>
            </w:r>
          </w:p>
        </w:tc>
      </w:tr>
    </w:tbl>
    <w:p>
      <w:pPr>
        <w:pStyle w:val="Heading1"/>
        <w:spacing w:after="140" w:before="320"/>
      </w:pPr>
      <w:r>
        <w:rPr>
          <w:rFonts w:ascii="Arial" w:cs="Arial" w:eastAsia="Arial" w:hAnsi="Arial"/>
        </w:rPr>
        <w:t xml:space="preserve">3. Dòng thời gian sự nghiệp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7026"/>
      </w:tblGrid>
      <w:tr>
        <w:trPr>
          <w:cantSplit/>
          <w:tblHeader/>
        </w:trPr>
        <w:tc>
          <w:tcPr>
            <w:tcW w:type="dxa" w:w="2000"/>
            <w:tcBorders>
              <w:top w:val="single" w:color="BFBFBF" w:sz="4"/>
              <w:left w:val="single" w:color="BFBFBF" w:sz="4"/>
              <w:bottom w:val="single" w:color="BFBFBF" w:sz="4"/>
              <w:right w:val="single" w:color="BFBFBF" w:sz="4"/>
            </w:tcBorders>
            <w:shd w:fill="1F3864" w:color="auto" w:val="clear"/>
            <w:tcMar>
              <w:top w:type="dxa" w:w="70"/>
              <w:left w:type="dxa" w:w="100"/>
              <w:bottom w:type="dxa" w:w="70"/>
              <w:right w:type="dxa" w:w="100"/>
            </w:tcMar>
          </w:tcPr>
          <w:p>
            <w:pPr>
              <w:spacing w:after="30"/>
            </w:pPr>
            <w:r>
              <w:rPr>
                <w:rFonts w:ascii="Arial" w:cs="Arial" w:eastAsia="Arial" w:hAnsi="Arial"/>
                <w:b/>
                <w:bCs/>
                <w:color w:val="FFFFFF"/>
                <w:sz w:val="18"/>
                <w:szCs w:val="18"/>
              </w:rPr>
              <w:t xml:space="preserve">Thời gian</w:t>
            </w:r>
          </w:p>
        </w:tc>
        <w:tc>
          <w:tcPr>
            <w:tcW w:type="dxa" w:w="7026"/>
            <w:tcBorders>
              <w:top w:val="single" w:color="BFBFBF" w:sz="4"/>
              <w:left w:val="single" w:color="BFBFBF" w:sz="4"/>
              <w:bottom w:val="single" w:color="BFBFBF" w:sz="4"/>
              <w:right w:val="single" w:color="BFBFBF" w:sz="4"/>
            </w:tcBorders>
            <w:shd w:fill="1F3864" w:color="auto" w:val="clear"/>
            <w:tcMar>
              <w:top w:type="dxa" w:w="70"/>
              <w:left w:type="dxa" w:w="100"/>
              <w:bottom w:type="dxa" w:w="70"/>
              <w:right w:type="dxa" w:w="100"/>
            </w:tcMar>
          </w:tcPr>
          <w:p>
            <w:pPr>
              <w:spacing w:after="30"/>
            </w:pPr>
            <w:r>
              <w:rPr>
                <w:rFonts w:ascii="Arial" w:cs="Arial" w:eastAsia="Arial" w:hAnsi="Arial"/>
                <w:b/>
                <w:bCs/>
                <w:color w:val="FFFFFF"/>
                <w:sz w:val="18"/>
                <w:szCs w:val="18"/>
              </w:rPr>
              <w:t xml:space="preserve">Vị trí / Mốc</w:t>
            </w:r>
          </w:p>
        </w:tc>
      </w:tr>
      <w:tr>
        <w:trPr>
          <w:cantSplit/>
          <w:tblHeader w:val="off"/>
        </w:trPr>
        <w:tc>
          <w:tcPr>
            <w:tcW w:type="dxa" w:w="20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10/1989–05/2015</w:t>
            </w:r>
          </w:p>
        </w:tc>
        <w:tc>
          <w:tcPr>
            <w:tcW w:type="dxa" w:w="70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Bệnh viện 19-8 – Bộ Công an: bác sĩ, Phó khoa Tim mạch; Trưởng khoa Nội tiết – Đái tháo đường (2009–2015)</w:t>
            </w:r>
          </w:p>
        </w:tc>
      </w:tr>
      <w:tr>
        <w:trPr>
          <w:cantSplit/>
          <w:tblHeader w:val="off"/>
        </w:trPr>
        <w:tc>
          <w:tcPr>
            <w:tcW w:type="dxa" w:w="20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2010–2014</w:t>
            </w:r>
          </w:p>
        </w:tc>
        <w:tc>
          <w:tcPr>
            <w:tcW w:type="dxa" w:w="70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Nghiên cứu sinh, nhận học vị Tiến sĩ tại Viện Nghiên cứu Khoa học Y Dược lâm sàng 108</w:t>
            </w:r>
          </w:p>
        </w:tc>
      </w:tr>
      <w:tr>
        <w:trPr>
          <w:cantSplit/>
          <w:tblHeader w:val="off"/>
        </w:trPr>
        <w:tc>
          <w:tcPr>
            <w:tcW w:type="dxa" w:w="20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05/2015–11/2017</w:t>
            </w:r>
          </w:p>
        </w:tc>
        <w:tc>
          <w:tcPr>
            <w:tcW w:type="dxa" w:w="70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Phó Giám đốc Bệnh viện Y học cổ truyền – Bộ Công an</w:t>
            </w:r>
          </w:p>
        </w:tc>
      </w:tr>
      <w:tr>
        <w:trPr>
          <w:cantSplit/>
          <w:tblHeader w:val="off"/>
        </w:trPr>
        <w:tc>
          <w:tcPr>
            <w:tcW w:type="dxa" w:w="20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11/2017–01/2019</w:t>
            </w:r>
          </w:p>
        </w:tc>
        <w:tc>
          <w:tcPr>
            <w:tcW w:type="dxa" w:w="70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Phó Giám đốc Bệnh viện 199 – Bộ Công an</w:t>
            </w:r>
          </w:p>
        </w:tc>
      </w:tr>
      <w:tr>
        <w:trPr>
          <w:cantSplit/>
          <w:tblHeader w:val="off"/>
        </w:trPr>
        <w:tc>
          <w:tcPr>
            <w:tcW w:type="dxa" w:w="20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01/2019–06/2025</w:t>
            </w:r>
          </w:p>
        </w:tc>
        <w:tc>
          <w:tcPr>
            <w:tcW w:type="dxa" w:w="70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Giám đốc Bệnh viện 199 – Bộ Công an</w:t>
            </w:r>
          </w:p>
        </w:tc>
      </w:tr>
      <w:tr>
        <w:trPr>
          <w:cantSplit/>
          <w:tblHeader w:val="off"/>
        </w:trPr>
        <w:tc>
          <w:tcPr>
            <w:tcW w:type="dxa" w:w="20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06/2025–08/2025</w:t>
            </w:r>
          </w:p>
        </w:tc>
        <w:tc>
          <w:tcPr>
            <w:tcW w:type="dxa" w:w="70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Cố vấn cao cấp Bệnh viện 199</w:t>
            </w:r>
          </w:p>
        </w:tc>
      </w:tr>
      <w:tr>
        <w:trPr>
          <w:cantSplit/>
          <w:tblHeader w:val="off"/>
        </w:trPr>
        <w:tc>
          <w:tcPr>
            <w:tcW w:type="dxa" w:w="20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Từ 10/08/2025</w:t>
            </w:r>
          </w:p>
        </w:tc>
        <w:tc>
          <w:tcPr>
            <w:tcW w:type="dxa" w:w="70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Giám đốc Bệnh viện Đa khoa Quốc tế Vinmec Đà Nẵng</w:t>
            </w:r>
          </w:p>
        </w:tc>
      </w:tr>
      <w:tr>
        <w:trPr>
          <w:cantSplit/>
          <w:tblHeader w:val="off"/>
        </w:trPr>
        <w:tc>
          <w:tcPr>
            <w:tcW w:type="dxa" w:w="20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Từ 10/2025</w:t>
            </w:r>
          </w:p>
        </w:tc>
        <w:tc>
          <w:tcPr>
            <w:tcW w:type="dxa" w:w="70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Chủ tịch Chi hội Du lịch Y tế Đà Nẵng</w:t>
            </w:r>
          </w:p>
        </w:tc>
      </w:tr>
    </w:tbl>
    <w:p>
      <w:pPr>
        <w:pStyle w:val="Heading1"/>
        <w:spacing w:after="140" w:before="320"/>
      </w:pPr>
      <w:r>
        <w:rPr>
          <w:rFonts w:ascii="Arial" w:cs="Arial" w:eastAsia="Arial" w:hAnsi="Arial"/>
        </w:rPr>
        <w:t xml:space="preserve">4. Danh hiệu và khen thưởng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00"/>
        <w:gridCol w:w="4600"/>
        <w:gridCol w:w="3326"/>
      </w:tblGrid>
      <w:tr>
        <w:trPr>
          <w:cantSplit/>
          <w:tblHeader/>
        </w:trPr>
        <w:tc>
          <w:tcPr>
            <w:tcW w:type="dxa" w:w="1100"/>
            <w:tcBorders>
              <w:top w:val="single" w:color="BFBFBF" w:sz="4"/>
              <w:left w:val="single" w:color="BFBFBF" w:sz="4"/>
              <w:bottom w:val="single" w:color="BFBFBF" w:sz="4"/>
              <w:right w:val="single" w:color="BFBFBF" w:sz="4"/>
            </w:tcBorders>
            <w:shd w:fill="1F3864" w:color="auto" w:val="clear"/>
            <w:tcMar>
              <w:top w:type="dxa" w:w="70"/>
              <w:left w:type="dxa" w:w="100"/>
              <w:bottom w:type="dxa" w:w="70"/>
              <w:right w:type="dxa" w:w="100"/>
            </w:tcMar>
          </w:tcPr>
          <w:p>
            <w:pPr>
              <w:spacing w:after="30"/>
            </w:pPr>
            <w:r>
              <w:rPr>
                <w:rFonts w:ascii="Arial" w:cs="Arial" w:eastAsia="Arial" w:hAnsi="Arial"/>
                <w:b/>
                <w:bCs/>
                <w:color w:val="FFFFFF"/>
                <w:sz w:val="18"/>
                <w:szCs w:val="18"/>
              </w:rPr>
              <w:t xml:space="preserve">Năm</w:t>
            </w:r>
          </w:p>
        </w:tc>
        <w:tc>
          <w:tcPr>
            <w:tcW w:type="dxa" w:w="4600"/>
            <w:tcBorders>
              <w:top w:val="single" w:color="BFBFBF" w:sz="4"/>
              <w:left w:val="single" w:color="BFBFBF" w:sz="4"/>
              <w:bottom w:val="single" w:color="BFBFBF" w:sz="4"/>
              <w:right w:val="single" w:color="BFBFBF" w:sz="4"/>
            </w:tcBorders>
            <w:shd w:fill="1F3864" w:color="auto" w:val="clear"/>
            <w:tcMar>
              <w:top w:type="dxa" w:w="70"/>
              <w:left w:type="dxa" w:w="100"/>
              <w:bottom w:type="dxa" w:w="70"/>
              <w:right w:type="dxa" w:w="100"/>
            </w:tcMar>
          </w:tcPr>
          <w:p>
            <w:pPr>
              <w:spacing w:after="30"/>
            </w:pPr>
            <w:r>
              <w:rPr>
                <w:rFonts w:ascii="Arial" w:cs="Arial" w:eastAsia="Arial" w:hAnsi="Arial"/>
                <w:b/>
                <w:bCs/>
                <w:color w:val="FFFFFF"/>
                <w:sz w:val="18"/>
                <w:szCs w:val="18"/>
              </w:rPr>
              <w:t xml:space="preserve">Danh hiệu / Khen thưởng</w:t>
            </w:r>
          </w:p>
        </w:tc>
        <w:tc>
          <w:tcPr>
            <w:tcW w:type="dxa" w:w="3326"/>
            <w:tcBorders>
              <w:top w:val="single" w:color="BFBFBF" w:sz="4"/>
              <w:left w:val="single" w:color="BFBFBF" w:sz="4"/>
              <w:bottom w:val="single" w:color="BFBFBF" w:sz="4"/>
              <w:right w:val="single" w:color="BFBFBF" w:sz="4"/>
            </w:tcBorders>
            <w:shd w:fill="1F3864" w:color="auto" w:val="clear"/>
            <w:tcMar>
              <w:top w:type="dxa" w:w="70"/>
              <w:left w:type="dxa" w:w="100"/>
              <w:bottom w:type="dxa" w:w="70"/>
              <w:right w:type="dxa" w:w="100"/>
            </w:tcMar>
          </w:tcPr>
          <w:p>
            <w:pPr>
              <w:spacing w:after="30"/>
            </w:pPr>
            <w:r>
              <w:rPr>
                <w:rFonts w:ascii="Arial" w:cs="Arial" w:eastAsia="Arial" w:hAnsi="Arial"/>
                <w:b/>
                <w:bCs/>
                <w:color w:val="FFFFFF"/>
                <w:sz w:val="18"/>
                <w:szCs w:val="18"/>
              </w:rPr>
              <w:t xml:space="preserve">Cơ quan trao</w:t>
            </w:r>
          </w:p>
        </w:tc>
      </w:tr>
      <w:tr>
        <w:trPr>
          <w:cantSplit/>
          <w:tblHeader w:val="off"/>
        </w:trPr>
        <w:tc>
          <w:tcPr>
            <w:tcW w:type="dxa" w:w="11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2017</w:t>
            </w:r>
          </w:p>
        </w:tc>
        <w:tc>
          <w:tcPr>
            <w:tcW w:type="dxa" w:w="4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Danh hiệu Thầy thuốc Ưu tú</w:t>
            </w:r>
          </w:p>
        </w:tc>
        <w:tc>
          <w:tcPr>
            <w:tcW w:type="dxa" w:w="33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Chủ tịch nước</w:t>
            </w:r>
          </w:p>
        </w:tc>
      </w:tr>
      <w:tr>
        <w:trPr>
          <w:cantSplit/>
          <w:tblHeader w:val="off"/>
        </w:trPr>
        <w:tc>
          <w:tcPr>
            <w:tcW w:type="dxa" w:w="11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2022</w:t>
            </w:r>
          </w:p>
        </w:tc>
        <w:tc>
          <w:tcPr>
            <w:tcW w:type="dxa" w:w="46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Huân chương Chiến công hạng Ba</w:t>
            </w:r>
          </w:p>
        </w:tc>
        <w:tc>
          <w:tcPr>
            <w:tcW w:type="dxa" w:w="33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Chủ tịch nước</w:t>
            </w:r>
          </w:p>
        </w:tc>
      </w:tr>
      <w:tr>
        <w:trPr>
          <w:cantSplit/>
          <w:tblHeader w:val="off"/>
        </w:trPr>
        <w:tc>
          <w:tcPr>
            <w:tcW w:type="dxa" w:w="11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2022</w:t>
            </w:r>
          </w:p>
        </w:tc>
        <w:tc>
          <w:tcPr>
            <w:tcW w:type="dxa" w:w="4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Bằng khen về hỗ trợ khám chữa bệnh và phòng, chống dịch COVID-19 (QĐ 327/QĐ-UBND, 27/01/2022)</w:t>
            </w:r>
          </w:p>
        </w:tc>
        <w:tc>
          <w:tcPr>
            <w:tcW w:type="dxa" w:w="33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Chủ tịch UBND tỉnh Quảng Nam</w:t>
            </w:r>
          </w:p>
        </w:tc>
      </w:tr>
      <w:tr>
        <w:trPr>
          <w:cantSplit/>
          <w:tblHeader w:val="off"/>
        </w:trPr>
        <w:tc>
          <w:tcPr>
            <w:tcW w:type="dxa" w:w="11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2024</w:t>
            </w:r>
          </w:p>
        </w:tc>
        <w:tc>
          <w:tcPr>
            <w:tcW w:type="dxa" w:w="46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Lãnh đạo Chuyển đổi số tiêu biểu – CDO &amp; CSO Summit &amp; Awards 2024</w:t>
            </w:r>
          </w:p>
        </w:tc>
        <w:tc>
          <w:tcPr>
            <w:tcW w:type="dxa" w:w="33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IDG Việt Nam, Hội Truyền thông số Việt Nam (VDCA)</w:t>
            </w:r>
          </w:p>
        </w:tc>
      </w:tr>
      <w:tr>
        <w:trPr>
          <w:cantSplit/>
          <w:tblHeader w:val="off"/>
        </w:trPr>
        <w:tc>
          <w:tcPr>
            <w:tcW w:type="dxa" w:w="11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2025</w:t>
            </w:r>
          </w:p>
        </w:tc>
        <w:tc>
          <w:tcPr>
            <w:tcW w:type="dxa" w:w="4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Bằng khen Khởi nghiệp, Đổi mới sáng tạo 2024</w:t>
            </w:r>
          </w:p>
        </w:tc>
        <w:tc>
          <w:tcPr>
            <w:tcW w:type="dxa" w:w="33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UBND TP Đà Nẵng</w:t>
            </w:r>
          </w:p>
        </w:tc>
      </w:tr>
    </w:tbl>
    <w:p>
      <w:pPr>
        <w:pStyle w:val="Heading1"/>
        <w:spacing w:after="140" w:before="320"/>
      </w:pPr>
      <w:r>
        <w:rPr>
          <w:rFonts w:ascii="Arial" w:cs="Arial" w:eastAsia="Arial" w:hAnsi="Arial"/>
        </w:rPr>
        <w:t xml:space="preserve">5. Dấu ấn quản trị và đổi mới</w:t>
      </w:r>
    </w:p>
    <w:p>
      <w:pPr>
        <w:pStyle w:val="Heading2"/>
        <w:spacing w:after="100" w:before="220"/>
      </w:pPr>
      <w:r>
        <w:rPr>
          <w:rFonts w:ascii="Arial" w:cs="Arial" w:eastAsia="Arial" w:hAnsi="Arial"/>
        </w:rPr>
        <w:t xml:space="preserve">Bệnh viện 199 – Bộ Công an (2017–2025)</w:t>
      </w:r>
    </w:p>
    <w:p>
      <w:pPr>
        <w:pStyle w:val="ListParagraph"/>
        <w:numPr>
          <w:ilvl w:val="0"/>
          <w:numId w:val="2"/>
        </w:numPr>
        <w:spacing w:after="70" w:line="290"/>
      </w:pPr>
      <w:r>
        <w:rPr>
          <w:rFonts w:ascii="Arial" w:cs="Arial" w:eastAsia="Arial" w:hAnsi="Arial"/>
          <w:b/>
          <w:bCs/>
        </w:rPr>
        <w:t xml:space="preserve">Chuyển đổi số: </w:t>
      </w:r>
      <w:r>
        <w:rPr>
          <w:rFonts w:ascii="Arial" w:cs="Arial" w:eastAsia="Arial" w:hAnsi="Arial"/>
        </w:rPr>
        <w:t xml:space="preserve">đồng tác giả phần mềm quản trị số EDOC199 (đăng ký quyền tác giả 2022); triển khai bệnh án điện tử và nền tảng dữ liệu nguồn mở iTitan (DataLakehouse) tích hợp, quản lý, khai thác dữ liệu lớn y tế – đã trình bày tại Hội nghị khoa học Nội tiết – Đái tháo đường toàn quốc lần thứ XII, MEDTECH 4.0 TP.HCM và tại cuộc họp của Cục Công nghệ thông tin, Bộ Công an.</w:t>
      </w:r>
    </w:p>
    <w:p>
      <w:pPr>
        <w:pStyle w:val="ListParagraph"/>
        <w:numPr>
          <w:ilvl w:val="0"/>
          <w:numId w:val="2"/>
        </w:numPr>
        <w:spacing w:after="70" w:line="290"/>
      </w:pPr>
      <w:r>
        <w:rPr>
          <w:rFonts w:ascii="Arial" w:cs="Arial" w:eastAsia="Arial" w:hAnsi="Arial"/>
          <w:b/>
          <w:bCs/>
        </w:rPr>
        <w:t xml:space="preserve">Đổi mới sáng tạo: </w:t>
      </w:r>
      <w:r>
        <w:rPr>
          <w:rFonts w:ascii="Arial" w:cs="Arial" w:eastAsia="Arial" w:hAnsi="Arial"/>
        </w:rPr>
        <w:t xml:space="preserve">khởi xướng 199VIH – Tổ hợp Đổi mới sáng tạo y tế, ra mắt ngày 09/06/2023 tại Đà Nẵng, kết nối bệnh viện, nhà khoa học, chuyên gia công nghệ và doanh nghiệp khởi nghiệp.</w:t>
      </w:r>
    </w:p>
    <w:p>
      <w:pPr>
        <w:pStyle w:val="ListParagraph"/>
        <w:numPr>
          <w:ilvl w:val="0"/>
          <w:numId w:val="2"/>
        </w:numPr>
        <w:spacing w:after="70" w:line="290"/>
      </w:pPr>
      <w:r>
        <w:rPr>
          <w:rFonts w:ascii="Arial" w:cs="Arial" w:eastAsia="Arial" w:hAnsi="Arial"/>
          <w:b/>
          <w:bCs/>
        </w:rPr>
        <w:t xml:space="preserve">Lan tỏa: </w:t>
      </w:r>
      <w:r>
        <w:rPr>
          <w:rFonts w:ascii="Arial" w:cs="Arial" w:eastAsia="Arial" w:hAnsi="Arial"/>
        </w:rPr>
        <w:t xml:space="preserve">chia sẻ kinh nghiệm chuyển đổi số, bệnh án điện tử, dữ liệu lớn tại các hội thảo của Sở Y tế nhiều tỉnh, thành phố.</w:t>
      </w:r>
    </w:p>
    <w:p>
      <w:pPr>
        <w:pStyle w:val="Heading2"/>
        <w:spacing w:after="100" w:before="220"/>
      </w:pPr>
      <w:r>
        <w:rPr>
          <w:rFonts w:ascii="Arial" w:cs="Arial" w:eastAsia="Arial" w:hAnsi="Arial"/>
        </w:rPr>
        <w:t xml:space="preserve">Vinmec Đà Nẵng (từ 10/08/2025) – thành tích tập thể của bệnh viện</w:t>
      </w:r>
    </w:p>
    <w:p>
      <w:pPr>
        <w:pStyle w:val="ListParagraph"/>
        <w:numPr>
          <w:ilvl w:val="0"/>
          <w:numId w:val="2"/>
        </w:numPr>
        <w:spacing w:after="70" w:line="290"/>
      </w:pPr>
      <w:r>
        <w:rPr>
          <w:rFonts w:ascii="Arial" w:cs="Arial" w:eastAsia="Arial" w:hAnsi="Arial"/>
        </w:rPr>
        <w:t xml:space="preserve">Newsweek &amp; Statista – Best Specialized Hospitals Asia–Pacific 2026: hạng 29 chuyên ngành Tiêu hóa.</w:t>
      </w:r>
    </w:p>
    <w:p>
      <w:pPr>
        <w:pStyle w:val="ListParagraph"/>
        <w:numPr>
          <w:ilvl w:val="0"/>
          <w:numId w:val="2"/>
        </w:numPr>
        <w:spacing w:after="70" w:line="290"/>
      </w:pPr>
      <w:r>
        <w:rPr>
          <w:rFonts w:ascii="Arial" w:cs="Arial" w:eastAsia="Arial" w:hAnsi="Arial"/>
        </w:rPr>
        <w:t xml:space="preserve">Global Hospital Rating 2026: 4 sao.</w:t>
      </w:r>
    </w:p>
    <w:p>
      <w:pPr>
        <w:pStyle w:val="ListParagraph"/>
        <w:numPr>
          <w:ilvl w:val="0"/>
          <w:numId w:val="2"/>
        </w:numPr>
        <w:spacing w:after="70" w:line="290"/>
      </w:pPr>
      <w:r>
        <w:rPr>
          <w:rFonts w:ascii="Arial" w:cs="Arial" w:eastAsia="Arial" w:hAnsi="Arial"/>
        </w:rPr>
        <w:t xml:space="preserve">Khoa Xét nghiệm đạt ISO 15189:2022 (VILAS Med 122), 08/2026.</w:t>
      </w:r>
    </w:p>
    <w:p>
      <w:pPr>
        <w:pStyle w:val="ListParagraph"/>
        <w:numPr>
          <w:ilvl w:val="0"/>
          <w:numId w:val="2"/>
        </w:numPr>
        <w:spacing w:after="70" w:line="290"/>
      </w:pPr>
      <w:r>
        <w:rPr>
          <w:rFonts w:ascii="Arial" w:cs="Arial" w:eastAsia="Arial" w:hAnsi="Arial"/>
        </w:rPr>
        <w:t xml:space="preserve">Hợp tác chuyên môn lâu dài với GS.TSKH.BS Dương Quý Sỹ – Chủ tịch Hội Y học Giấc ngủ Việt Nam: khám định kỳ hằng tháng từ 08/2026, giảng dạy, nghiên cứu và đào tạo.</w:t>
      </w:r>
    </w:p>
    <w:p>
      <w:pPr>
        <w:pStyle w:val="ListParagraph"/>
        <w:numPr>
          <w:ilvl w:val="0"/>
          <w:numId w:val="2"/>
        </w:numPr>
        <w:spacing w:after="70" w:line="290"/>
      </w:pPr>
      <w:r>
        <w:rPr>
          <w:rFonts w:ascii="Arial" w:cs="Arial" w:eastAsia="Arial" w:hAnsi="Arial"/>
        </w:rPr>
        <w:t xml:space="preserve">Kết nối quốc tế: đón đoàn Kameda Medical Center (Nhật Bản), 10/2026; trao đổi hợp tác với VitalLife Scientific Wellness Center – Bumrungrad (Thái Lan) về chăm sóc dự phòng và tuổi thọ khỏe mạnh.</w:t>
      </w:r>
    </w:p>
    <w:p>
      <w:pPr>
        <w:pStyle w:val="Heading1"/>
        <w:spacing w:after="140" w:before="320"/>
      </w:pPr>
      <w:r>
        <w:rPr>
          <w:rFonts w:ascii="Arial" w:cs="Arial" w:eastAsia="Arial" w:hAnsi="Arial"/>
        </w:rPr>
        <w:t xml:space="preserve">6. Nghiên cứu và hoạt động học thuật</w:t>
      </w:r>
    </w:p>
    <w:p>
      <w:pPr>
        <w:pStyle w:val="ListParagraph"/>
        <w:numPr>
          <w:ilvl w:val="0"/>
          <w:numId w:val="2"/>
        </w:numPr>
        <w:spacing w:after="70" w:line="290"/>
      </w:pPr>
      <w:r>
        <w:rPr>
          <w:rFonts w:ascii="Arial" w:cs="Arial" w:eastAsia="Arial" w:hAnsi="Arial"/>
          <w:b/>
          <w:bCs/>
        </w:rPr>
        <w:t xml:space="preserve">Công trình: </w:t>
      </w:r>
      <w:r>
        <w:rPr>
          <w:rFonts w:ascii="Arial" w:cs="Arial" w:eastAsia="Arial" w:hAnsi="Arial"/>
        </w:rPr>
        <w:t xml:space="preserve">danh mục 48 công trình khoa học tại huutrungquach.com/publications, đồng bộ với ORCID và Scopus.</w:t>
      </w:r>
    </w:p>
    <w:p>
      <w:pPr>
        <w:pStyle w:val="ListParagraph"/>
        <w:numPr>
          <w:ilvl w:val="0"/>
          <w:numId w:val="2"/>
        </w:numPr>
        <w:spacing w:after="70" w:line="290"/>
      </w:pPr>
      <w:r>
        <w:rPr>
          <w:rFonts w:ascii="Arial" w:cs="Arial" w:eastAsia="Arial" w:hAnsi="Arial"/>
          <w:b/>
          <w:bCs/>
        </w:rPr>
        <w:t xml:space="preserve">Công bố tiêu biểu: </w:t>
      </w:r>
      <w:r>
        <w:rPr>
          <w:rFonts w:ascii="Arial" w:cs="Arial" w:eastAsia="Arial" w:hAnsi="Arial"/>
        </w:rPr>
        <w:t xml:space="preserve">Home Sleep Testing Model in OSA Screening in Patients with Cardiovascular Diseases – Diabetes and Obesity in Vietnam: The First Multi-Centre Study. Sleep Medicine, 2026. DOI 10.1016/j.sleep.2025.108073 (đồng tác giả).</w:t>
      </w:r>
    </w:p>
    <w:p>
      <w:pPr>
        <w:pStyle w:val="ListParagraph"/>
        <w:numPr>
          <w:ilvl w:val="0"/>
          <w:numId w:val="2"/>
        </w:numPr>
        <w:spacing w:after="70" w:line="290"/>
      </w:pPr>
      <w:r>
        <w:rPr>
          <w:rFonts w:ascii="Arial" w:cs="Arial" w:eastAsia="Arial" w:hAnsi="Arial"/>
          <w:b/>
          <w:bCs/>
        </w:rPr>
        <w:t xml:space="preserve">Đề tài cấp Bộ (Bộ Công an): </w:t>
      </w:r>
      <w:r>
        <w:rPr>
          <w:rFonts w:ascii="Arial" w:cs="Arial" w:eastAsia="Arial" w:hAnsi="Arial"/>
        </w:rPr>
        <w:t xml:space="preserve">rối loạn dung nạp glucose ở người tăng huyết áp (BY.2002.YTL.017, 2002–2005); kháng aspirin ở người bệnh hẹp động mạch vành (BH-2013-198-20, 2012–2014).</w:t>
      </w:r>
    </w:p>
    <w:p>
      <w:pPr>
        <w:pStyle w:val="ListParagraph"/>
        <w:numPr>
          <w:ilvl w:val="0"/>
          <w:numId w:val="2"/>
        </w:numPr>
        <w:spacing w:after="70" w:line="290"/>
      </w:pPr>
      <w:r>
        <w:rPr>
          <w:rFonts w:ascii="Arial" w:cs="Arial" w:eastAsia="Arial" w:hAnsi="Arial"/>
          <w:b/>
          <w:bCs/>
        </w:rPr>
        <w:t xml:space="preserve">Biên tập và giảng dạy: </w:t>
      </w:r>
      <w:r>
        <w:rPr>
          <w:rFonts w:ascii="Arial" w:cs="Arial" w:eastAsia="Arial" w:hAnsi="Arial"/>
        </w:rPr>
        <w:t xml:space="preserve">Phó Tổng Biên tập Tạp chí Nội tiết – Đái tháo đường; Giảng viên thỉnh giảng Trường Đại học Duy Tân (từ 2022).</w:t>
      </w:r>
    </w:p>
    <w:p>
      <w:pPr>
        <w:pStyle w:val="ListParagraph"/>
        <w:numPr>
          <w:ilvl w:val="0"/>
          <w:numId w:val="2"/>
        </w:numPr>
        <w:spacing w:after="70" w:line="290"/>
      </w:pPr>
      <w:r>
        <w:rPr>
          <w:rFonts w:ascii="Arial" w:cs="Arial" w:eastAsia="Arial" w:hAnsi="Arial"/>
          <w:b/>
          <w:bCs/>
        </w:rPr>
        <w:t xml:space="preserve">Hội nghề nghiệp: </w:t>
      </w:r>
      <w:r>
        <w:rPr>
          <w:rFonts w:ascii="Arial" w:cs="Arial" w:eastAsia="Arial" w:hAnsi="Arial"/>
        </w:rPr>
        <w:t xml:space="preserve">Phó Chủ tịch Hội Nội tiết – Đái tháo đường miền Trung; Chủ tịch Chi hội Y học biển và Oxy cao áp miền Trung; Ủy viên Ban Chấp hành Hội Dược bệnh viện Việt Nam (2025–2030); Chủ tịch Chi hội Du lịch Y tế Đà Nẵng.</w:t>
      </w:r>
    </w:p>
    <w:p>
      <w:pPr>
        <w:pStyle w:val="ListParagraph"/>
        <w:numPr>
          <w:ilvl w:val="0"/>
          <w:numId w:val="2"/>
        </w:numPr>
        <w:spacing w:after="70" w:line="290"/>
      </w:pPr>
      <w:r>
        <w:rPr>
          <w:rFonts w:ascii="Arial" w:cs="Arial" w:eastAsia="Arial" w:hAnsi="Arial"/>
          <w:b/>
          <w:bCs/>
        </w:rPr>
        <w:t xml:space="preserve">Diễn giả: </w:t>
      </w:r>
      <w:r>
        <w:rPr>
          <w:rFonts w:ascii="Arial" w:cs="Arial" w:eastAsia="Arial" w:hAnsi="Arial"/>
        </w:rPr>
        <w:t xml:space="preserve">panelist tại Da Nang Global Business Summit 2026 – Silver Generation Innovation (15/05/2026).</w:t>
      </w:r>
    </w:p>
    <w:p>
      <w:pPr>
        <w:pStyle w:val="Heading1"/>
        <w:spacing w:after="140" w:before="320"/>
      </w:pPr>
      <w:r>
        <w:rPr>
          <w:rFonts w:ascii="Arial" w:cs="Arial" w:eastAsia="Arial" w:hAnsi="Arial"/>
        </w:rPr>
        <w:t xml:space="preserve">7. Báo chí đã đưa tin</w:t>
      </w:r>
    </w:p>
    <w:p>
      <w:pPr>
        <w:pStyle w:val="ListParagraph"/>
        <w:numPr>
          <w:ilvl w:val="0"/>
          <w:numId w:val="2"/>
        </w:numPr>
        <w:spacing w:after="70" w:line="290"/>
      </w:pPr>
      <w:r>
        <w:rPr>
          <w:rFonts w:ascii="Arial" w:cs="Arial" w:eastAsia="Arial" w:hAnsi="Arial"/>
        </w:rPr>
        <w:t xml:space="preserve">Dân Việt – TS.BS Quách Hữu Trung: Người gieo hạt đổi mới cho y tế miền Trung: </w:t>
      </w:r>
      <w:hyperlink w:history="1" r:id="rIdy-uposov3cayufalrpj8s">
        <w:r>
          <w:rPr>
            <w:rFonts w:ascii="Arial" w:cs="Arial" w:eastAsia="Arial" w:hAnsi="Arial"/>
            <w:color w:val="0C5F69"/>
            <w:u w:val="single"/>
          </w:rPr>
          <w:t xml:space="preserve">danviet.vn/tsbs-quach-huu-trung-nguoi-gieo-hat-doi-moi-cho-y-te-mien-t…</w:t>
        </w:r>
      </w:hyperlink>
    </w:p>
    <w:p>
      <w:pPr>
        <w:pStyle w:val="ListParagraph"/>
        <w:numPr>
          <w:ilvl w:val="0"/>
          <w:numId w:val="2"/>
        </w:numPr>
        <w:spacing w:after="70" w:line="290"/>
      </w:pPr>
      <w:r>
        <w:rPr>
          <w:rFonts w:ascii="Arial" w:cs="Arial" w:eastAsia="Arial" w:hAnsi="Arial"/>
        </w:rPr>
        <w:t xml:space="preserve">VOV – Vinh danh 15 nhà lãnh đạo chuyển đổi số tiêu biểu năm 2024: </w:t>
      </w:r>
      <w:hyperlink w:history="1" r:id="rIdc5bt5btnv_euukxcta1r6">
        <w:r>
          <w:rPr>
            <w:rFonts w:ascii="Arial" w:cs="Arial" w:eastAsia="Arial" w:hAnsi="Arial"/>
            <w:color w:val="0C5F69"/>
            <w:u w:val="single"/>
          </w:rPr>
          <w:t xml:space="preserve">vov.gov.vn/vinh-danh-15-nha-lanh-dao-chuyen-doi-so-tieu-bieu-nam-2024-…</w:t>
        </w:r>
      </w:hyperlink>
    </w:p>
    <w:p>
      <w:pPr>
        <w:pStyle w:val="ListParagraph"/>
        <w:numPr>
          <w:ilvl w:val="0"/>
          <w:numId w:val="2"/>
        </w:numPr>
        <w:spacing w:after="70" w:line="290"/>
      </w:pPr>
      <w:r>
        <w:rPr>
          <w:rFonts w:ascii="Arial" w:cs="Arial" w:eastAsia="Arial" w:hAnsi="Arial"/>
        </w:rPr>
        <w:t xml:space="preserve">Bệnh viện 199 – Đại tá, Tiến sĩ Quách Hữu Trung được vinh danh Lãnh đạo Chuyển đổi số tiêu biểu (25/10/2024): </w:t>
      </w:r>
      <w:hyperlink w:history="1" r:id="rIdrmf1qcvn5iomjs4q1dbjy">
        <w:r>
          <w:rPr>
            <w:rFonts w:ascii="Arial" w:cs="Arial" w:eastAsia="Arial" w:hAnsi="Arial"/>
            <w:color w:val="0C5F69"/>
            <w:u w:val="single"/>
          </w:rPr>
          <w:t xml:space="preserve">benhvien199.vn/post/dai-ta-tien-si-quach-huu-trung-duoc-vinh-danh-la-l…</w:t>
        </w:r>
      </w:hyperlink>
    </w:p>
    <w:p>
      <w:pPr>
        <w:pStyle w:val="ListParagraph"/>
        <w:numPr>
          <w:ilvl w:val="0"/>
          <w:numId w:val="2"/>
        </w:numPr>
        <w:spacing w:after="70" w:line="290"/>
      </w:pPr>
      <w:r>
        <w:rPr>
          <w:rFonts w:ascii="Arial" w:cs="Arial" w:eastAsia="Arial" w:hAnsi="Arial"/>
        </w:rPr>
        <w:t xml:space="preserve">Vinmec – Người tiên phong đưa Vinmec Đà Nẵng trở thành bệnh viện thông minh: </w:t>
      </w:r>
      <w:hyperlink w:history="1" r:id="rIdowg25qiv73gwrwag5yd4l">
        <w:r>
          <w:rPr>
            <w:rFonts w:ascii="Arial" w:cs="Arial" w:eastAsia="Arial" w:hAnsi="Arial"/>
            <w:color w:val="0C5F69"/>
            <w:u w:val="single"/>
          </w:rPr>
          <w:t xml:space="preserve">www.vinmec.com/vie/bai-viet/thay-thuoc-uu-tu-ts-bs-quach-huu-trung-ngu…</w:t>
        </w:r>
      </w:hyperlink>
    </w:p>
    <w:p>
      <w:pPr>
        <w:pStyle w:val="ListParagraph"/>
        <w:numPr>
          <w:ilvl w:val="0"/>
          <w:numId w:val="2"/>
        </w:numPr>
        <w:spacing w:after="70" w:line="290"/>
      </w:pPr>
      <w:r>
        <w:rPr>
          <w:rFonts w:ascii="Arial" w:cs="Arial" w:eastAsia="Arial" w:hAnsi="Arial"/>
        </w:rPr>
        <w:t xml:space="preserve">Vinmec – Người thầy truyền lửa cho thế hệ bác sĩ trẻ tại Vinmec Đà Nẵng: </w:t>
      </w:r>
      <w:hyperlink w:history="1" r:id="rIdn1kzbvfpq1ev7gielqtun">
        <w:r>
          <w:rPr>
            <w:rFonts w:ascii="Arial" w:cs="Arial" w:eastAsia="Arial" w:hAnsi="Arial"/>
            <w:color w:val="0C5F69"/>
            <w:u w:val="single"/>
          </w:rPr>
          <w:t xml:space="preserve">www.vinmec.com/vie/bai-viet/thay-thuoc-uu-tu-ts-bs-quach-huu-trung-ngu…</w:t>
        </w:r>
      </w:hyperlink>
    </w:p>
    <w:p>
      <w:pPr>
        <w:pStyle w:val="ListParagraph"/>
        <w:numPr>
          <w:ilvl w:val="0"/>
          <w:numId w:val="2"/>
        </w:numPr>
        <w:spacing w:after="70" w:line="290"/>
      </w:pPr>
      <w:r>
        <w:rPr>
          <w:rFonts w:ascii="Arial" w:cs="Arial" w:eastAsia="Arial" w:hAnsi="Arial"/>
        </w:rPr>
        <w:t xml:space="preserve">Vinmec – Hồ sơ chuyên gia: </w:t>
      </w:r>
      <w:hyperlink w:history="1" r:id="rIdv-lciiux_q1h7esp-ixuq">
        <w:r>
          <w:rPr>
            <w:rFonts w:ascii="Arial" w:cs="Arial" w:eastAsia="Arial" w:hAnsi="Arial"/>
            <w:color w:val="0C5F69"/>
            <w:u w:val="single"/>
          </w:rPr>
          <w:t xml:space="preserve">www.vinmec.com/vie/chuyen-gia-y-te/quach-huu-trung</w:t>
        </w:r>
      </w:hyperlink>
    </w:p>
    <w:p>
      <w:pPr>
        <w:pStyle w:val="ListParagraph"/>
        <w:numPr>
          <w:ilvl w:val="0"/>
          <w:numId w:val="2"/>
        </w:numPr>
        <w:spacing w:after="70" w:line="290"/>
      </w:pPr>
      <w:r>
        <w:rPr>
          <w:rFonts w:ascii="Arial" w:cs="Arial" w:eastAsia="Arial" w:hAnsi="Arial"/>
        </w:rPr>
        <w:t xml:space="preserve">Medical Tourism Magazine – Profile: </w:t>
      </w:r>
      <w:hyperlink w:history="1" r:id="rIdu6bjlcpkfbf5hzox9li7x">
        <w:r>
          <w:rPr>
            <w:rFonts w:ascii="Arial" w:cs="Arial" w:eastAsia="Arial" w:hAnsi="Arial"/>
            <w:color w:val="0C5F69"/>
            <w:u w:val="single"/>
          </w:rPr>
          <w:t xml:space="preserve">www.better.medicaltourism.com/article/meritorious-physician-ph-d-docto…</w:t>
        </w:r>
      </w:hyperlink>
    </w:p>
    <w:p>
      <w:pPr>
        <w:pStyle w:val="ListParagraph"/>
        <w:numPr>
          <w:ilvl w:val="0"/>
          <w:numId w:val="2"/>
        </w:numPr>
        <w:spacing w:after="70" w:line="290"/>
      </w:pPr>
      <w:r>
        <w:rPr>
          <w:rFonts w:ascii="Arial" w:cs="Arial" w:eastAsia="Arial" w:hAnsi="Arial"/>
        </w:rPr>
        <w:t xml:space="preserve">Tác phẩm “Đại tá, Thầy thuốc ưu tú, Tiến sĩ, Bác sĩ Quách Hữu Trung: hình bóng người cán bộ ‘sáu dám’” (tác giả Lầu Văn Thanh, Bệnh viện 199) – Giải Khuyến khích cuộc thi báo chí về mô hình “Dân vận khéo” tiêu biểu, Ban Dân vận Thành ủy Đà Nẵng (QĐ 203-QĐ/BDVTU, 08/10/2024).</w:t>
      </w:r>
    </w:p>
    <w:p>
      <w:pPr>
        <w:pStyle w:val="Heading1"/>
        <w:spacing w:after="140" w:before="320"/>
      </w:pPr>
      <w:r>
        <w:rPr>
          <w:rFonts w:ascii="Arial" w:cs="Arial" w:eastAsia="Arial" w:hAnsi="Arial"/>
        </w:rPr>
        <w:t xml:space="preserve">8. Định danh số chính thức</w:t>
      </w:r>
    </w:p>
    <w:p>
      <w:pPr>
        <w:pStyle w:val="ListParagraph"/>
        <w:numPr>
          <w:ilvl w:val="0"/>
          <w:numId w:val="2"/>
        </w:numPr>
        <w:spacing w:after="70" w:line="290"/>
      </w:pPr>
      <w:r>
        <w:rPr>
          <w:rFonts w:ascii="Arial" w:cs="Arial" w:eastAsia="Arial" w:hAnsi="Arial"/>
        </w:rPr>
        <w:t xml:space="preserve">Website: </w:t>
      </w:r>
      <w:hyperlink w:history="1" r:id="rIdx5a-ibfbxvgvcy86u9nyt">
        <w:r>
          <w:rPr>
            <w:rFonts w:ascii="Arial" w:cs="Arial" w:eastAsia="Arial" w:hAnsi="Arial"/>
            <w:color w:val="0C5F69"/>
            <w:u w:val="single"/>
          </w:rPr>
          <w:t xml:space="preserve">huutrungquach.com</w:t>
        </w:r>
      </w:hyperlink>
    </w:p>
    <w:p>
      <w:pPr>
        <w:pStyle w:val="ListParagraph"/>
        <w:numPr>
          <w:ilvl w:val="0"/>
          <w:numId w:val="2"/>
        </w:numPr>
        <w:spacing w:after="70" w:line="290"/>
      </w:pPr>
      <w:r>
        <w:rPr>
          <w:rFonts w:ascii="Arial" w:cs="Arial" w:eastAsia="Arial" w:hAnsi="Arial"/>
        </w:rPr>
        <w:t xml:space="preserve">ORCID: </w:t>
      </w:r>
      <w:hyperlink w:history="1" r:id="rId2vkhubtfbghg5tl5pd1nr">
        <w:r>
          <w:rPr>
            <w:rFonts w:ascii="Arial" w:cs="Arial" w:eastAsia="Arial" w:hAnsi="Arial"/>
            <w:color w:val="0C5F69"/>
            <w:u w:val="single"/>
          </w:rPr>
          <w:t xml:space="preserve">orcid.org/0009-0005-3223-4295</w:t>
        </w:r>
      </w:hyperlink>
    </w:p>
    <w:p>
      <w:pPr>
        <w:pStyle w:val="ListParagraph"/>
        <w:numPr>
          <w:ilvl w:val="0"/>
          <w:numId w:val="2"/>
        </w:numPr>
        <w:spacing w:after="70" w:line="290"/>
      </w:pPr>
      <w:r>
        <w:rPr>
          <w:rFonts w:ascii="Arial" w:cs="Arial" w:eastAsia="Arial" w:hAnsi="Arial"/>
        </w:rPr>
        <w:t xml:space="preserve">Scopus Author ID: </w:t>
      </w:r>
      <w:hyperlink w:history="1" r:id="rIdmhulb2zdyanyiamaobcmz">
        <w:r>
          <w:rPr>
            <w:rFonts w:ascii="Arial" w:cs="Arial" w:eastAsia="Arial" w:hAnsi="Arial"/>
            <w:color w:val="0C5F69"/>
            <w:u w:val="single"/>
          </w:rPr>
          <w:t xml:space="preserve">www.scopus.com/authid/detail.uri?authorId=58864009700</w:t>
        </w:r>
      </w:hyperlink>
    </w:p>
    <w:p>
      <w:pPr>
        <w:pStyle w:val="ListParagraph"/>
        <w:numPr>
          <w:ilvl w:val="0"/>
          <w:numId w:val="2"/>
        </w:numPr>
        <w:spacing w:after="70" w:line="290"/>
      </w:pPr>
      <w:r>
        <w:rPr>
          <w:rFonts w:ascii="Arial" w:cs="Arial" w:eastAsia="Arial" w:hAnsi="Arial"/>
        </w:rPr>
        <w:t xml:space="preserve">Google Scholar: </w:t>
      </w:r>
      <w:hyperlink w:history="1" r:id="rId6e5nvnfiohd_q0enoyudw">
        <w:r>
          <w:rPr>
            <w:rFonts w:ascii="Arial" w:cs="Arial" w:eastAsia="Arial" w:hAnsi="Arial"/>
            <w:color w:val="0C5F69"/>
            <w:u w:val="single"/>
          </w:rPr>
          <w:t xml:space="preserve">scholar.google.com/citations?user=0kc4GnMAAAAJ</w:t>
        </w:r>
      </w:hyperlink>
    </w:p>
    <w:p>
      <w:pPr>
        <w:pStyle w:val="ListParagraph"/>
        <w:numPr>
          <w:ilvl w:val="0"/>
          <w:numId w:val="2"/>
        </w:numPr>
        <w:spacing w:after="70" w:line="290"/>
      </w:pPr>
      <w:r>
        <w:rPr>
          <w:rFonts w:ascii="Arial" w:cs="Arial" w:eastAsia="Arial" w:hAnsi="Arial"/>
        </w:rPr>
        <w:t xml:space="preserve">Wikidata: </w:t>
      </w:r>
      <w:hyperlink w:history="1" r:id="rId3bnyvej97gq-uijnpzrpw">
        <w:r>
          <w:rPr>
            <w:rFonts w:ascii="Arial" w:cs="Arial" w:eastAsia="Arial" w:hAnsi="Arial"/>
            <w:color w:val="0C5F69"/>
            <w:u w:val="single"/>
          </w:rPr>
          <w:t xml:space="preserve">www.wikidata.org/wiki/Q141547064</w:t>
        </w:r>
      </w:hyperlink>
    </w:p>
    <w:p>
      <w:pPr>
        <w:pStyle w:val="ListParagraph"/>
        <w:numPr>
          <w:ilvl w:val="0"/>
          <w:numId w:val="2"/>
        </w:numPr>
        <w:spacing w:after="70" w:line="290"/>
      </w:pPr>
      <w:r>
        <w:rPr>
          <w:rFonts w:ascii="Arial" w:cs="Arial" w:eastAsia="Arial" w:hAnsi="Arial"/>
        </w:rPr>
        <w:t xml:space="preserve">LinkedIn: </w:t>
      </w:r>
      <w:hyperlink w:history="1" r:id="rIdtpkjesnqk8sex-qzfk2ot">
        <w:r>
          <w:rPr>
            <w:rFonts w:ascii="Arial" w:cs="Arial" w:eastAsia="Arial" w:hAnsi="Arial"/>
            <w:color w:val="0C5F69"/>
            <w:u w:val="single"/>
          </w:rPr>
          <w:t xml:space="preserve">www.linkedin.com/in/huu-trung-quach-0219a2255</w:t>
        </w:r>
      </w:hyperlink>
    </w:p>
    <w:p>
      <w:pPr>
        <w:pStyle w:val="ListParagraph"/>
        <w:numPr>
          <w:ilvl w:val="0"/>
          <w:numId w:val="2"/>
        </w:numPr>
        <w:spacing w:after="70" w:line="290"/>
      </w:pPr>
      <w:r>
        <w:rPr>
          <w:rFonts w:ascii="Arial" w:cs="Arial" w:eastAsia="Arial" w:hAnsi="Arial"/>
        </w:rPr>
        <w:t xml:space="preserve">X: </w:t>
      </w:r>
      <w:hyperlink w:history="1" r:id="rIdlz1zvskz0lrjxtkytnu0q">
        <w:r>
          <w:rPr>
            <w:rFonts w:ascii="Arial" w:cs="Arial" w:eastAsia="Arial" w:hAnsi="Arial"/>
            <w:color w:val="0C5F69"/>
            <w:u w:val="single"/>
          </w:rPr>
          <w:t xml:space="preserve">x.com/QuachHuuTrung</w:t>
        </w:r>
      </w:hyperlink>
    </w:p>
    <w:p>
      <w:pPr>
        <w:pStyle w:val="ListParagraph"/>
        <w:numPr>
          <w:ilvl w:val="0"/>
          <w:numId w:val="2"/>
        </w:numPr>
        <w:spacing w:after="70" w:line="290"/>
      </w:pPr>
      <w:r>
        <w:rPr>
          <w:rFonts w:ascii="Arial" w:cs="Arial" w:eastAsia="Arial" w:hAnsi="Arial"/>
        </w:rPr>
        <w:t xml:space="preserve">YouTube: </w:t>
      </w:r>
      <w:hyperlink w:history="1" r:id="rIdy6bcbhg0q32b11sxzhpg5">
        <w:r>
          <w:rPr>
            <w:rFonts w:ascii="Arial" w:cs="Arial" w:eastAsia="Arial" w:hAnsi="Arial"/>
            <w:color w:val="0C5F69"/>
            <w:u w:val="single"/>
          </w:rPr>
          <w:t xml:space="preserve">www.youtube.com/@QuachHuuTrung</w:t>
        </w:r>
      </w:hyperlink>
    </w:p>
    <w:p>
      <w:pPr>
        <w:pStyle w:val="ListParagraph"/>
        <w:numPr>
          <w:ilvl w:val="0"/>
          <w:numId w:val="2"/>
        </w:numPr>
        <w:spacing w:after="70" w:line="290"/>
      </w:pPr>
      <w:r>
        <w:rPr>
          <w:rFonts w:ascii="Arial" w:cs="Arial" w:eastAsia="Arial" w:hAnsi="Arial"/>
        </w:rPr>
        <w:t xml:space="preserve">Facebook: </w:t>
      </w:r>
      <w:hyperlink w:history="1" r:id="rIdklxvcsdirklyktlpoujkx">
        <w:r>
          <w:rPr>
            <w:rFonts w:ascii="Arial" w:cs="Arial" w:eastAsia="Arial" w:hAnsi="Arial"/>
            <w:color w:val="0C5F69"/>
            <w:u w:val="single"/>
          </w:rPr>
          <w:t xml:space="preserve">www.facebook.com/dr.huutrungquach</w:t>
        </w:r>
      </w:hyperlink>
    </w:p>
    <w:p>
      <w:pPr>
        <w:pStyle w:val="Heading1"/>
        <w:spacing w:after="140" w:before="320"/>
      </w:pPr>
      <w:r>
        <w:rPr>
          <w:rFonts w:ascii="Arial" w:cs="Arial" w:eastAsia="Arial" w:hAnsi="Arial"/>
        </w:rPr>
        <w:t xml:space="preserve">9. Hướng dẫn sử dụng hồ sơ</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1F5" w:sz="4"/>
              <w:left w:val="single" w:color="0F7C8C" w:sz="24"/>
              <w:bottom w:val="single" w:color="E8F1F5" w:sz="4"/>
              <w:right w:val="single" w:color="E8F1F5" w:sz="4"/>
            </w:tcBorders>
            <w:shd w:fill="E8F1F5" w:color="auto" w:val="clear"/>
            <w:tcMar>
              <w:top w:type="dxa" w:w="130"/>
              <w:left w:type="dxa" w:w="220"/>
              <w:bottom w:type="dxa" w:w="130"/>
              <w:right w:type="dxa" w:w="220"/>
            </w:tcMar>
          </w:tcPr>
          <w:p>
            <w:pPr>
              <w:spacing w:after="80"/>
            </w:pPr>
            <w:r>
              <w:rPr>
                <w:rFonts w:ascii="Arial" w:cs="Arial" w:eastAsia="Arial" w:hAnsi="Arial"/>
                <w:b/>
                <w:bCs/>
                <w:color w:val="0F7C8C"/>
              </w:rPr>
              <w:t xml:space="preserve">Dành cho phóng viên, ban tổ chức và đối tác</w:t>
            </w:r>
          </w:p>
          <w:p>
            <w:pPr>
              <w:spacing w:after="60" w:line="290"/>
            </w:pPr>
            <w:r>
              <w:rPr>
                <w:rFonts w:ascii="Arial" w:cs="Arial" w:eastAsia="Arial" w:hAnsi="Arial"/>
                <w:sz w:val="20"/>
                <w:szCs w:val="20"/>
              </w:rPr>
              <w:t xml:space="preserve">• Cách ghi tên: “TTƯT. TS. BS Quách Hữu Trung” (lần đầu), sau đó “TS.BS Quách Hữu Trung” hoặc “ông Trung”. Tiếng Anh: “Huu Trung Quach, MD, PhD”.</w:t>
            </w:r>
          </w:p>
          <w:p>
            <w:pPr>
              <w:spacing w:after="60" w:line="290"/>
            </w:pPr>
            <w:r>
              <w:rPr>
                <w:rFonts w:ascii="Arial" w:cs="Arial" w:eastAsia="Arial" w:hAnsi="Arial"/>
                <w:sz w:val="20"/>
                <w:szCs w:val="20"/>
              </w:rPr>
              <w:t xml:space="preserve">• Chức danh hiện tại: Giám đốc Bệnh viện Đa khoa Quốc tế Vinmec Đà Nẵng. Khi nhắc Bệnh viện 199, dùng “nguyên Giám đốc”.</w:t>
            </w:r>
          </w:p>
          <w:p>
            <w:pPr>
              <w:spacing w:after="60" w:line="290"/>
            </w:pPr>
            <w:r>
              <w:rPr>
                <w:rFonts w:ascii="Arial" w:cs="Arial" w:eastAsia="Arial" w:hAnsi="Arial"/>
                <w:sz w:val="20"/>
                <w:szCs w:val="20"/>
              </w:rPr>
              <w:t xml:space="preserve">• Thành tích của Vinmec Đà Nẵng là thành tích tập thể của bệnh viện; ghi rõ năm và đơn vị xếp hạng/cấp chứng nhận.</w:t>
            </w:r>
          </w:p>
          <w:p>
            <w:pPr>
              <w:spacing w:after="60" w:line="290"/>
            </w:pPr>
            <w:r>
              <w:rPr>
                <w:rFonts w:ascii="Arial" w:cs="Arial" w:eastAsia="Arial" w:hAnsi="Arial"/>
                <w:sz w:val="20"/>
                <w:szCs w:val="20"/>
              </w:rPr>
              <w:t xml:space="preserve">• Không ghi năm sinh. Ảnh chân dung chính thức: tải tại huutrungquach.com.</w:t>
            </w:r>
          </w:p>
          <w:p>
            <w:pPr>
              <w:spacing w:after="60" w:line="290"/>
            </w:pPr>
            <w:r>
              <w:rPr>
                <w:rFonts w:ascii="Arial" w:cs="Arial" w:eastAsia="Arial" w:hAnsi="Arial"/>
                <w:sz w:val="20"/>
                <w:szCs w:val="20"/>
              </w:rPr>
              <w:t xml:space="preserve">• Quan điểm của ông về chính sách, chiến lược là quan điểm cá nhân, không đại diện cho Hệ thống Y tế Vinmec.</w:t>
            </w:r>
          </w:p>
          <w:p>
            <w:pPr>
              <w:spacing w:after="60" w:line="290"/>
            </w:pPr>
            <w:r>
              <w:rPr>
                <w:rFonts w:ascii="Arial" w:cs="Arial" w:eastAsia="Arial" w:hAnsi="Arial"/>
                <w:sz w:val="20"/>
                <w:szCs w:val="20"/>
              </w:rPr>
              <w:t xml:space="preserve">• Thông tin chính thức về bệnh viện: phối hợp Phòng Truyền thông Vinmec Đà Nẵng.</w:t>
            </w:r>
          </w:p>
        </w:tc>
      </w:tr>
    </w:tbl>
    <w:p>
      <w:r>
        <w:br w:type="page"/>
      </w:r>
    </w:p>
    <w:p>
      <w:pPr>
        <w:spacing w:after="100"/>
      </w:pPr>
      <w:r>
        <w:rPr>
          <w:rFonts w:ascii="Arial" w:cs="Arial" w:eastAsia="Arial" w:hAnsi="Arial"/>
          <w:b/>
          <w:bCs/>
          <w:color w:val="0F7C8C"/>
          <w:sz w:val="22"/>
          <w:szCs w:val="22"/>
        </w:rPr>
        <w:t xml:space="preserve">PART II · ENGLISH</w:t>
      </w:r>
    </w:p>
    <w:p>
      <w:pPr>
        <w:spacing w:after="240"/>
      </w:pPr>
      <w:r>
        <w:rPr>
          <w:rFonts w:ascii="Arial" w:cs="Arial" w:eastAsia="Arial" w:hAnsi="Arial"/>
          <w:b/>
          <w:bCs/>
          <w:color w:val="1F3864"/>
          <w:sz w:val="40"/>
          <w:szCs w:val="40"/>
        </w:rPr>
        <w:t xml:space="preserve">Huu Trung Quach, MD, PhD</w:t>
      </w:r>
    </w:p>
    <w:p>
      <w:pPr>
        <w:pStyle w:val="Heading1"/>
        <w:spacing w:after="140" w:before="320"/>
      </w:pPr>
      <w:r>
        <w:rPr>
          <w:rFonts w:ascii="Arial" w:cs="Arial" w:eastAsia="Arial" w:hAnsi="Arial"/>
        </w:rPr>
        <w:t xml:space="preserve">1. Fact sheet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cantSplit/>
          <w:tblHeader/>
        </w:trPr>
        <w:tc>
          <w:tcPr>
            <w:tcW w:type="dxa" w:w="2600"/>
            <w:tcBorders>
              <w:top w:val="single" w:color="BFBFBF" w:sz="4"/>
              <w:left w:val="single" w:color="BFBFBF" w:sz="4"/>
              <w:bottom w:val="single" w:color="BFBFBF" w:sz="4"/>
              <w:right w:val="single" w:color="BFBFBF" w:sz="4"/>
            </w:tcBorders>
            <w:shd w:fill="1F3864" w:color="auto" w:val="clear"/>
            <w:tcMar>
              <w:top w:type="dxa" w:w="70"/>
              <w:left w:type="dxa" w:w="100"/>
              <w:bottom w:type="dxa" w:w="70"/>
              <w:right w:type="dxa" w:w="100"/>
            </w:tcMar>
          </w:tcPr>
          <w:p>
            <w:pPr>
              <w:spacing w:after="30"/>
            </w:pPr>
            <w:r>
              <w:rPr>
                <w:rFonts w:ascii="Arial" w:cs="Arial" w:eastAsia="Arial" w:hAnsi="Arial"/>
                <w:b/>
                <w:bCs/>
                <w:color w:val="FFFFFF"/>
                <w:sz w:val="18"/>
                <w:szCs w:val="18"/>
              </w:rPr>
              <w:t xml:space="preserve">Item</w:t>
            </w:r>
          </w:p>
        </w:tc>
        <w:tc>
          <w:tcPr>
            <w:tcW w:type="dxa" w:w="6426"/>
            <w:tcBorders>
              <w:top w:val="single" w:color="BFBFBF" w:sz="4"/>
              <w:left w:val="single" w:color="BFBFBF" w:sz="4"/>
              <w:bottom w:val="single" w:color="BFBFBF" w:sz="4"/>
              <w:right w:val="single" w:color="BFBFBF" w:sz="4"/>
            </w:tcBorders>
            <w:shd w:fill="1F3864" w:color="auto" w:val="clear"/>
            <w:tcMar>
              <w:top w:type="dxa" w:w="70"/>
              <w:left w:type="dxa" w:w="100"/>
              <w:bottom w:type="dxa" w:w="70"/>
              <w:right w:type="dxa" w:w="100"/>
            </w:tcMar>
          </w:tcPr>
          <w:p>
            <w:pPr>
              <w:spacing w:after="30"/>
            </w:pPr>
            <w:r>
              <w:rPr>
                <w:rFonts w:ascii="Arial" w:cs="Arial" w:eastAsia="Arial" w:hAnsi="Arial"/>
                <w:b/>
                <w:bCs/>
                <w:color w:val="FFFFFF"/>
                <w:sz w:val="18"/>
                <w:szCs w:val="18"/>
              </w:rPr>
              <w:t xml:space="preserve">Details</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Name</w:t>
            </w:r>
          </w:p>
        </w:tc>
        <w:tc>
          <w:tcPr>
            <w:tcW w:type="dxa" w:w="64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Huu Trung Quach, MD, PhD (Vietnamese: TTƯT. TS. BS Quách Hữu Trung)</w:t>
            </w:r>
          </w:p>
        </w:tc>
      </w:tr>
      <w:tr>
        <w:trPr>
          <w:cantSplit/>
          <w:tblHeader w:val="off"/>
        </w:trPr>
        <w:tc>
          <w:tcPr>
            <w:tcW w:type="dxa" w:w="26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Current position</w:t>
            </w:r>
          </w:p>
        </w:tc>
        <w:tc>
          <w:tcPr>
            <w:tcW w:type="dxa" w:w="64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Director, Vinmec Da Nang International General Hospital (since 10 August 2025)</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Specialties</w:t>
            </w:r>
          </w:p>
        </w:tc>
        <w:tc>
          <w:tcPr>
            <w:tcW w:type="dxa" w:w="64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Internal medicine and cardiology; endocrinology and diabetes; hospital management; digital health</w:t>
            </w:r>
          </w:p>
        </w:tc>
      </w:tr>
      <w:tr>
        <w:trPr>
          <w:cantSplit/>
          <w:tblHeader w:val="off"/>
        </w:trPr>
        <w:tc>
          <w:tcPr>
            <w:tcW w:type="dxa" w:w="26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Experience</w:t>
            </w:r>
          </w:p>
        </w:tc>
        <w:tc>
          <w:tcPr>
            <w:tcW w:type="dxa" w:w="64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More than 35 years (since 1989)</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Degree</w:t>
            </w:r>
          </w:p>
        </w:tc>
        <w:tc>
          <w:tcPr>
            <w:tcW w:type="dxa" w:w="64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PhD, 108 Institute of Clinical Medical and Pharmaceutical Sciences (2010–2014)</w:t>
            </w:r>
          </w:p>
        </w:tc>
      </w:tr>
      <w:tr>
        <w:trPr>
          <w:cantSplit/>
          <w:tblHeader w:val="off"/>
        </w:trPr>
        <w:tc>
          <w:tcPr>
            <w:tcW w:type="dxa" w:w="26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State honours</w:t>
            </w:r>
          </w:p>
        </w:tc>
        <w:tc>
          <w:tcPr>
            <w:tcW w:type="dxa" w:w="64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Meritorious Physician (2017) · Third-Class Feat of Arms Order (2022)</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Contact</w:t>
            </w:r>
          </w:p>
        </w:tc>
        <w:tc>
          <w:tcPr>
            <w:tcW w:type="dxa" w:w="64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huutrungquach.com (Contact section) · Hospital enquiries: Vinmec Da Nang, +84 236 3711 111</w:t>
            </w:r>
          </w:p>
        </w:tc>
      </w:tr>
    </w:tbl>
    <w:p>
      <w:pPr>
        <w:pStyle w:val="Heading1"/>
        <w:spacing w:after="140" w:before="320"/>
      </w:pPr>
      <w:r>
        <w:rPr>
          <w:rFonts w:ascii="Arial" w:cs="Arial" w:eastAsia="Arial" w:hAnsi="Arial"/>
        </w:rPr>
        <w:t xml:space="preserve">2. Biography</w:t>
      </w:r>
    </w:p>
    <w:p>
      <w:pPr>
        <w:pStyle w:val="Heading2"/>
        <w:spacing w:after="100" w:before="220"/>
      </w:pPr>
      <w:r>
        <w:rPr>
          <w:rFonts w:ascii="Arial" w:cs="Arial" w:eastAsia="Arial" w:hAnsi="Arial"/>
        </w:rPr>
        <w:t xml:space="preserve">Short (about 55 words)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BFBF" w:sz="4"/>
              <w:left w:val="single" w:color="B8962E" w:sz="18"/>
              <w:bottom w:val="single" w:color="BFBFBF" w:sz="4"/>
              <w:right w:val="single" w:color="BFBFBF" w:sz="4"/>
            </w:tcBorders>
            <w:tcMar>
              <w:top w:type="dxa" w:w="120"/>
              <w:left w:type="dxa" w:w="220"/>
              <w:bottom w:type="dxa" w:w="120"/>
              <w:right w:type="dxa" w:w="220"/>
            </w:tcMar>
          </w:tcPr>
          <w:p>
            <w:pPr>
              <w:spacing w:after="70" w:line="280"/>
            </w:pPr>
            <w:r>
              <w:rPr>
                <w:rFonts w:ascii="Arial" w:cs="Arial" w:eastAsia="Arial" w:hAnsi="Arial"/>
                <w:sz w:val="19"/>
                <w:szCs w:val="19"/>
              </w:rPr>
              <w:t xml:space="preserve">Huu Trung Quach, MD, PhD, is a Vietnamese internist–cardiologist and healthcare executive with more than 35 years of experience. He has been Director of Vinmec Da Nang International General Hospital since August 2025, previously led Hospital 199 of the Ministry of Public Security (2019–2025), and was named an Outstanding Digital Transformation Leader in 2024.</w:t>
            </w:r>
          </w:p>
        </w:tc>
      </w:tr>
    </w:tbl>
    <w:p>
      <w:pPr>
        <w:pStyle w:val="Heading2"/>
        <w:spacing w:after="100" w:before="220"/>
      </w:pPr>
      <w:r>
        <w:rPr>
          <w:rFonts w:ascii="Arial" w:cs="Arial" w:eastAsia="Arial" w:hAnsi="Arial"/>
        </w:rPr>
        <w:t xml:space="preserve">Full (about 230 words)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FBFBF" w:sz="4"/>
              <w:left w:val="single" w:color="B8962E" w:sz="18"/>
              <w:bottom w:val="single" w:color="BFBFBF" w:sz="4"/>
              <w:right w:val="single" w:color="BFBFBF" w:sz="4"/>
            </w:tcBorders>
            <w:tcMar>
              <w:top w:type="dxa" w:w="120"/>
              <w:left w:type="dxa" w:w="220"/>
              <w:bottom w:type="dxa" w:w="120"/>
              <w:right w:type="dxa" w:w="220"/>
            </w:tcMar>
          </w:tcPr>
          <w:p>
            <w:pPr>
              <w:spacing w:after="70" w:line="280"/>
            </w:pPr>
            <w:r>
              <w:rPr>
                <w:rFonts w:ascii="Arial" w:cs="Arial" w:eastAsia="Arial" w:hAnsi="Arial"/>
                <w:sz w:val="19"/>
                <w:szCs w:val="19"/>
              </w:rPr>
              <w:t xml:space="preserve">Huu Trung Quach, MD, PhD, is a Vietnamese physician, cardiologist and healthcare executive with more than 35 years of experience in clinical medicine, hospital leadership, digital transformation and innovation. Since 10 August 2025 he has served as Director of Vinmec Da Nang International General Hospital.</w:t>
            </w:r>
          </w:p>
          <w:p>
            <w:pPr>
              <w:spacing w:after="70" w:line="280"/>
            </w:pPr>
            <w:r>
              <w:rPr>
                <w:rFonts w:ascii="Arial" w:cs="Arial" w:eastAsia="Arial" w:hAnsi="Arial"/>
                <w:sz w:val="19"/>
                <w:szCs w:val="19"/>
              </w:rPr>
              <w:t xml:space="preserve">He spent 26 years at Hospital 19-8 of the Ministry of Public Security, rising from physician and Deputy Head of Cardiology to Head of Endocrinology and Diabetes, and earned his PhD at the 108 Institute of Clinical Medical and Pharmaceutical Sciences. As Director of Hospital 199 (2019–2025) he led the hospital’s digital transformation, including the EDOC199 management platform and an integrated health-data platform, and initiated 199VIH, a healthcare innovation hub launched in Da Nang in 2023.</w:t>
            </w:r>
          </w:p>
          <w:p>
            <w:pPr>
              <w:spacing w:after="70" w:line="280"/>
            </w:pPr>
            <w:r>
              <w:rPr>
                <w:rFonts w:ascii="Arial" w:cs="Arial" w:eastAsia="Arial" w:hAnsi="Arial"/>
                <w:sz w:val="19"/>
                <w:szCs w:val="19"/>
              </w:rPr>
              <w:t xml:space="preserve">At Vinmec Da Nang his priorities include advanced specialty care, international partnerships with Japanese and Thai institutions, sleep medicine, preventive care and healthy longevity, and medical tourism in Central Vietnam. He is President of the Da Nang Medical Tourism Chapter and Deputy Editor of the Vietnam Journal of Diabetes and Endocrinology, and holds the State titles of Meritorious Physician (2017) and the Third-Class Feat of Arms Order (2022).</w:t>
            </w:r>
          </w:p>
        </w:tc>
      </w:tr>
    </w:tbl>
    <w:p>
      <w:pPr>
        <w:pStyle w:val="Heading1"/>
        <w:spacing w:after="140" w:before="320"/>
      </w:pPr>
      <w:r>
        <w:rPr>
          <w:rFonts w:ascii="Arial" w:cs="Arial" w:eastAsia="Arial" w:hAnsi="Arial"/>
        </w:rPr>
        <w:t xml:space="preserve">3. Career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7026"/>
      </w:tblGrid>
      <w:tr>
        <w:trPr>
          <w:cantSplit/>
          <w:tblHeader/>
        </w:trPr>
        <w:tc>
          <w:tcPr>
            <w:tcW w:type="dxa" w:w="2000"/>
            <w:tcBorders>
              <w:top w:val="single" w:color="BFBFBF" w:sz="4"/>
              <w:left w:val="single" w:color="BFBFBF" w:sz="4"/>
              <w:bottom w:val="single" w:color="BFBFBF" w:sz="4"/>
              <w:right w:val="single" w:color="BFBFBF" w:sz="4"/>
            </w:tcBorders>
            <w:shd w:fill="1F3864" w:color="auto" w:val="clear"/>
            <w:tcMar>
              <w:top w:type="dxa" w:w="70"/>
              <w:left w:type="dxa" w:w="100"/>
              <w:bottom w:type="dxa" w:w="70"/>
              <w:right w:type="dxa" w:w="100"/>
            </w:tcMar>
          </w:tcPr>
          <w:p>
            <w:pPr>
              <w:spacing w:after="30"/>
            </w:pPr>
            <w:r>
              <w:rPr>
                <w:rFonts w:ascii="Arial" w:cs="Arial" w:eastAsia="Arial" w:hAnsi="Arial"/>
                <w:b/>
                <w:bCs/>
                <w:color w:val="FFFFFF"/>
                <w:sz w:val="18"/>
                <w:szCs w:val="18"/>
              </w:rPr>
              <w:t xml:space="preserve">Period</w:t>
            </w:r>
          </w:p>
        </w:tc>
        <w:tc>
          <w:tcPr>
            <w:tcW w:type="dxa" w:w="7026"/>
            <w:tcBorders>
              <w:top w:val="single" w:color="BFBFBF" w:sz="4"/>
              <w:left w:val="single" w:color="BFBFBF" w:sz="4"/>
              <w:bottom w:val="single" w:color="BFBFBF" w:sz="4"/>
              <w:right w:val="single" w:color="BFBFBF" w:sz="4"/>
            </w:tcBorders>
            <w:shd w:fill="1F3864" w:color="auto" w:val="clear"/>
            <w:tcMar>
              <w:top w:type="dxa" w:w="70"/>
              <w:left w:type="dxa" w:w="100"/>
              <w:bottom w:type="dxa" w:w="70"/>
              <w:right w:type="dxa" w:w="100"/>
            </w:tcMar>
          </w:tcPr>
          <w:p>
            <w:pPr>
              <w:spacing w:after="30"/>
            </w:pPr>
            <w:r>
              <w:rPr>
                <w:rFonts w:ascii="Arial" w:cs="Arial" w:eastAsia="Arial" w:hAnsi="Arial"/>
                <w:b/>
                <w:bCs/>
                <w:color w:val="FFFFFF"/>
                <w:sz w:val="18"/>
                <w:szCs w:val="18"/>
              </w:rPr>
              <w:t xml:space="preserve">Position</w:t>
            </w:r>
          </w:p>
        </w:tc>
      </w:tr>
      <w:tr>
        <w:trPr>
          <w:cantSplit/>
          <w:tblHeader w:val="off"/>
        </w:trPr>
        <w:tc>
          <w:tcPr>
            <w:tcW w:type="dxa" w:w="20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1989–2015</w:t>
            </w:r>
          </w:p>
        </w:tc>
        <w:tc>
          <w:tcPr>
            <w:tcW w:type="dxa" w:w="70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Hospital 19-8, Ministry of Public Security: physician, Deputy Head of Cardiology; Head of Endocrinology and Diabetes (2009–2015)</w:t>
            </w:r>
          </w:p>
        </w:tc>
      </w:tr>
      <w:tr>
        <w:trPr>
          <w:cantSplit/>
          <w:tblHeader w:val="off"/>
        </w:trPr>
        <w:tc>
          <w:tcPr>
            <w:tcW w:type="dxa" w:w="20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May 2015–Nov 2017</w:t>
            </w:r>
          </w:p>
        </w:tc>
        <w:tc>
          <w:tcPr>
            <w:tcW w:type="dxa" w:w="70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Deputy Director, Traditional Medicine Hospital, Ministry of Public Security</w:t>
            </w:r>
          </w:p>
        </w:tc>
      </w:tr>
      <w:tr>
        <w:trPr>
          <w:cantSplit/>
          <w:tblHeader w:val="off"/>
        </w:trPr>
        <w:tc>
          <w:tcPr>
            <w:tcW w:type="dxa" w:w="20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2017–2019</w:t>
            </w:r>
          </w:p>
        </w:tc>
        <w:tc>
          <w:tcPr>
            <w:tcW w:type="dxa" w:w="70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Deputy Director, Hospital 199, Ministry of Public Security</w:t>
            </w:r>
          </w:p>
        </w:tc>
      </w:tr>
      <w:tr>
        <w:trPr>
          <w:cantSplit/>
          <w:tblHeader w:val="off"/>
        </w:trPr>
        <w:tc>
          <w:tcPr>
            <w:tcW w:type="dxa" w:w="20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2019–2025</w:t>
            </w:r>
          </w:p>
        </w:tc>
        <w:tc>
          <w:tcPr>
            <w:tcW w:type="dxa" w:w="70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Director, Hospital 199, Ministry of Public Security; then Senior Advisor (June–August 2025)</w:t>
            </w:r>
          </w:p>
        </w:tc>
      </w:tr>
      <w:tr>
        <w:trPr>
          <w:cantSplit/>
          <w:tblHeader w:val="off"/>
        </w:trPr>
        <w:tc>
          <w:tcPr>
            <w:tcW w:type="dxa" w:w="20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Since Aug 2025</w:t>
            </w:r>
          </w:p>
        </w:tc>
        <w:tc>
          <w:tcPr>
            <w:tcW w:type="dxa" w:w="70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Director, Vinmec Da Nang International General Hospital</w:t>
            </w:r>
          </w:p>
        </w:tc>
      </w:tr>
      <w:tr>
        <w:trPr>
          <w:cantSplit/>
          <w:tblHeader w:val="off"/>
        </w:trPr>
        <w:tc>
          <w:tcPr>
            <w:tcW w:type="dxa" w:w="20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Since Oct 2025</w:t>
            </w:r>
          </w:p>
        </w:tc>
        <w:tc>
          <w:tcPr>
            <w:tcW w:type="dxa" w:w="70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President, Da Nang Medical Tourism Chapter</w:t>
            </w:r>
          </w:p>
        </w:tc>
      </w:tr>
    </w:tbl>
    <w:p>
      <w:pPr>
        <w:pStyle w:val="Heading1"/>
        <w:spacing w:after="140" w:before="320"/>
      </w:pPr>
      <w:r>
        <w:rPr>
          <w:rFonts w:ascii="Arial" w:cs="Arial" w:eastAsia="Arial" w:hAnsi="Arial"/>
        </w:rPr>
        <w:t xml:space="preserve">4. Honours and awards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00"/>
        <w:gridCol w:w="4600"/>
        <w:gridCol w:w="3326"/>
      </w:tblGrid>
      <w:tr>
        <w:trPr>
          <w:cantSplit/>
          <w:tblHeader/>
        </w:trPr>
        <w:tc>
          <w:tcPr>
            <w:tcW w:type="dxa" w:w="1100"/>
            <w:tcBorders>
              <w:top w:val="single" w:color="BFBFBF" w:sz="4"/>
              <w:left w:val="single" w:color="BFBFBF" w:sz="4"/>
              <w:bottom w:val="single" w:color="BFBFBF" w:sz="4"/>
              <w:right w:val="single" w:color="BFBFBF" w:sz="4"/>
            </w:tcBorders>
            <w:shd w:fill="1F3864" w:color="auto" w:val="clear"/>
            <w:tcMar>
              <w:top w:type="dxa" w:w="70"/>
              <w:left w:type="dxa" w:w="100"/>
              <w:bottom w:type="dxa" w:w="70"/>
              <w:right w:type="dxa" w:w="100"/>
            </w:tcMar>
          </w:tcPr>
          <w:p>
            <w:pPr>
              <w:spacing w:after="30"/>
            </w:pPr>
            <w:r>
              <w:rPr>
                <w:rFonts w:ascii="Arial" w:cs="Arial" w:eastAsia="Arial" w:hAnsi="Arial"/>
                <w:b/>
                <w:bCs/>
                <w:color w:val="FFFFFF"/>
                <w:sz w:val="18"/>
                <w:szCs w:val="18"/>
              </w:rPr>
              <w:t xml:space="preserve">Year</w:t>
            </w:r>
          </w:p>
        </w:tc>
        <w:tc>
          <w:tcPr>
            <w:tcW w:type="dxa" w:w="4600"/>
            <w:tcBorders>
              <w:top w:val="single" w:color="BFBFBF" w:sz="4"/>
              <w:left w:val="single" w:color="BFBFBF" w:sz="4"/>
              <w:bottom w:val="single" w:color="BFBFBF" w:sz="4"/>
              <w:right w:val="single" w:color="BFBFBF" w:sz="4"/>
            </w:tcBorders>
            <w:shd w:fill="1F3864" w:color="auto" w:val="clear"/>
            <w:tcMar>
              <w:top w:type="dxa" w:w="70"/>
              <w:left w:type="dxa" w:w="100"/>
              <w:bottom w:type="dxa" w:w="70"/>
              <w:right w:type="dxa" w:w="100"/>
            </w:tcMar>
          </w:tcPr>
          <w:p>
            <w:pPr>
              <w:spacing w:after="30"/>
            </w:pPr>
            <w:r>
              <w:rPr>
                <w:rFonts w:ascii="Arial" w:cs="Arial" w:eastAsia="Arial" w:hAnsi="Arial"/>
                <w:b/>
                <w:bCs/>
                <w:color w:val="FFFFFF"/>
                <w:sz w:val="18"/>
                <w:szCs w:val="18"/>
              </w:rPr>
              <w:t xml:space="preserve">Honour</w:t>
            </w:r>
          </w:p>
        </w:tc>
        <w:tc>
          <w:tcPr>
            <w:tcW w:type="dxa" w:w="3326"/>
            <w:tcBorders>
              <w:top w:val="single" w:color="BFBFBF" w:sz="4"/>
              <w:left w:val="single" w:color="BFBFBF" w:sz="4"/>
              <w:bottom w:val="single" w:color="BFBFBF" w:sz="4"/>
              <w:right w:val="single" w:color="BFBFBF" w:sz="4"/>
            </w:tcBorders>
            <w:shd w:fill="1F3864" w:color="auto" w:val="clear"/>
            <w:tcMar>
              <w:top w:type="dxa" w:w="70"/>
              <w:left w:type="dxa" w:w="100"/>
              <w:bottom w:type="dxa" w:w="70"/>
              <w:right w:type="dxa" w:w="100"/>
            </w:tcMar>
          </w:tcPr>
          <w:p>
            <w:pPr>
              <w:spacing w:after="30"/>
            </w:pPr>
            <w:r>
              <w:rPr>
                <w:rFonts w:ascii="Arial" w:cs="Arial" w:eastAsia="Arial" w:hAnsi="Arial"/>
                <w:b/>
                <w:bCs/>
                <w:color w:val="FFFFFF"/>
                <w:sz w:val="18"/>
                <w:szCs w:val="18"/>
              </w:rPr>
              <w:t xml:space="preserve">Conferred by</w:t>
            </w:r>
          </w:p>
        </w:tc>
      </w:tr>
      <w:tr>
        <w:trPr>
          <w:cantSplit/>
          <w:tblHeader w:val="off"/>
        </w:trPr>
        <w:tc>
          <w:tcPr>
            <w:tcW w:type="dxa" w:w="11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2017</w:t>
            </w:r>
          </w:p>
        </w:tc>
        <w:tc>
          <w:tcPr>
            <w:tcW w:type="dxa" w:w="4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Meritorious Physician of Vietnam</w:t>
            </w:r>
          </w:p>
        </w:tc>
        <w:tc>
          <w:tcPr>
            <w:tcW w:type="dxa" w:w="33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President of Vietnam</w:t>
            </w:r>
          </w:p>
        </w:tc>
      </w:tr>
      <w:tr>
        <w:trPr>
          <w:cantSplit/>
          <w:tblHeader w:val="off"/>
        </w:trPr>
        <w:tc>
          <w:tcPr>
            <w:tcW w:type="dxa" w:w="11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2022</w:t>
            </w:r>
          </w:p>
        </w:tc>
        <w:tc>
          <w:tcPr>
            <w:tcW w:type="dxa" w:w="46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Third-Class Feat of Arms Order</w:t>
            </w:r>
          </w:p>
        </w:tc>
        <w:tc>
          <w:tcPr>
            <w:tcW w:type="dxa" w:w="33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President of Vietnam</w:t>
            </w:r>
          </w:p>
        </w:tc>
      </w:tr>
      <w:tr>
        <w:trPr>
          <w:cantSplit/>
          <w:tblHeader w:val="off"/>
        </w:trPr>
        <w:tc>
          <w:tcPr>
            <w:tcW w:type="dxa" w:w="11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2022</w:t>
            </w:r>
          </w:p>
        </w:tc>
        <w:tc>
          <w:tcPr>
            <w:tcW w:type="dxa" w:w="4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Certificate of Merit for medical care and COVID-19 response</w:t>
            </w:r>
          </w:p>
        </w:tc>
        <w:tc>
          <w:tcPr>
            <w:tcW w:type="dxa" w:w="33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Chairman, Quang Nam Provincial People’s Committee</w:t>
            </w:r>
          </w:p>
        </w:tc>
      </w:tr>
      <w:tr>
        <w:trPr>
          <w:cantSplit/>
          <w:tblHeader w:val="off"/>
        </w:trPr>
        <w:tc>
          <w:tcPr>
            <w:tcW w:type="dxa" w:w="11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2024</w:t>
            </w:r>
          </w:p>
        </w:tc>
        <w:tc>
          <w:tcPr>
            <w:tcW w:type="dxa" w:w="4600"/>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Outstanding Digital Transformation Leader – CDO &amp; CSO Summit &amp; Awards 2024</w:t>
            </w:r>
          </w:p>
        </w:tc>
        <w:tc>
          <w:tcPr>
            <w:tcW w:type="dxa" w:w="3326"/>
            <w:tcBorders>
              <w:top w:val="single" w:color="BFBFBF" w:sz="4"/>
              <w:left w:val="single" w:color="BFBFBF" w:sz="4"/>
              <w:bottom w:val="single" w:color="BFBFBF" w:sz="4"/>
              <w:right w:val="single" w:color="BFBFBF" w:sz="4"/>
            </w:tcBorders>
            <w:shd w:fill="F5F8FA" w:color="auto" w:val="clear"/>
            <w:tcMar>
              <w:top w:type="dxa" w:w="70"/>
              <w:left w:type="dxa" w:w="100"/>
              <w:bottom w:type="dxa" w:w="70"/>
              <w:right w:type="dxa" w:w="100"/>
            </w:tcMar>
          </w:tcPr>
          <w:p>
            <w:pPr>
              <w:spacing w:after="30"/>
            </w:pPr>
            <w:r>
              <w:rPr>
                <w:rFonts w:ascii="Arial" w:cs="Arial" w:eastAsia="Arial" w:hAnsi="Arial"/>
                <w:b w:val="false"/>
                <w:bCs w:val="false"/>
                <w:sz w:val="18"/>
                <w:szCs w:val="18"/>
              </w:rPr>
              <w:t xml:space="preserve">IDG Vietnam; Vietnam Digital Communications Association (VDCA)</w:t>
            </w:r>
          </w:p>
        </w:tc>
      </w:tr>
      <w:tr>
        <w:trPr>
          <w:cantSplit/>
          <w:tblHeader w:val="off"/>
        </w:trPr>
        <w:tc>
          <w:tcPr>
            <w:tcW w:type="dxa" w:w="11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2025</w:t>
            </w:r>
          </w:p>
        </w:tc>
        <w:tc>
          <w:tcPr>
            <w:tcW w:type="dxa" w:w="4600"/>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Certificate of Merit for Entrepreneurship and Innovation 2024</w:t>
            </w:r>
          </w:p>
        </w:tc>
        <w:tc>
          <w:tcPr>
            <w:tcW w:type="dxa" w:w="3326"/>
            <w:tcBorders>
              <w:top w:val="single" w:color="BFBFBF" w:sz="4"/>
              <w:left w:val="single" w:color="BFBFBF" w:sz="4"/>
              <w:bottom w:val="single" w:color="BFBFBF" w:sz="4"/>
              <w:right w:val="single" w:color="BFBFBF" w:sz="4"/>
            </w:tcBorders>
            <w:tcMar>
              <w:top w:type="dxa" w:w="70"/>
              <w:left w:type="dxa" w:w="100"/>
              <w:bottom w:type="dxa" w:w="70"/>
              <w:right w:type="dxa" w:w="100"/>
            </w:tcMar>
          </w:tcPr>
          <w:p>
            <w:pPr>
              <w:spacing w:after="30"/>
            </w:pPr>
            <w:r>
              <w:rPr>
                <w:rFonts w:ascii="Arial" w:cs="Arial" w:eastAsia="Arial" w:hAnsi="Arial"/>
                <w:b w:val="false"/>
                <w:bCs w:val="false"/>
                <w:sz w:val="18"/>
                <w:szCs w:val="18"/>
              </w:rPr>
              <w:t xml:space="preserve">Da Nang People’s Committee</w:t>
            </w:r>
          </w:p>
        </w:tc>
      </w:tr>
    </w:tbl>
    <w:p>
      <w:pPr>
        <w:pStyle w:val="Heading1"/>
        <w:spacing w:after="140" w:before="320"/>
      </w:pPr>
      <w:r>
        <w:rPr>
          <w:rFonts w:ascii="Arial" w:cs="Arial" w:eastAsia="Arial" w:hAnsi="Arial"/>
        </w:rPr>
        <w:t xml:space="preserve">5. Highlights</w:t>
      </w:r>
    </w:p>
    <w:p>
      <w:pPr>
        <w:pStyle w:val="ListParagraph"/>
        <w:numPr>
          <w:ilvl w:val="0"/>
          <w:numId w:val="2"/>
        </w:numPr>
        <w:spacing w:after="70" w:line="290"/>
      </w:pPr>
      <w:r>
        <w:rPr>
          <w:rFonts w:ascii="Arial" w:cs="Arial" w:eastAsia="Arial" w:hAnsi="Arial"/>
        </w:rPr>
        <w:t xml:space="preserve">Led digital transformation at Hospital 199: EDOC199 management software (co-author, copyright registered 2022), electronic medical records and iTitan, an open-source DataLakehouse platform for integrating and analysing healthcare big data, presented at national conferences.</w:t>
      </w:r>
    </w:p>
    <w:p>
      <w:pPr>
        <w:pStyle w:val="ListParagraph"/>
        <w:numPr>
          <w:ilvl w:val="0"/>
          <w:numId w:val="2"/>
        </w:numPr>
        <w:spacing w:after="70" w:line="290"/>
      </w:pPr>
      <w:r>
        <w:rPr>
          <w:rFonts w:ascii="Arial" w:cs="Arial" w:eastAsia="Arial" w:hAnsi="Arial"/>
        </w:rPr>
        <w:t xml:space="preserve">Initiated 199VIH, a healthcare innovation hub launched in Da Nang on 9 June 2023.</w:t>
      </w:r>
    </w:p>
    <w:p>
      <w:pPr>
        <w:pStyle w:val="ListParagraph"/>
        <w:numPr>
          <w:ilvl w:val="0"/>
          <w:numId w:val="2"/>
        </w:numPr>
        <w:spacing w:after="70" w:line="290"/>
      </w:pPr>
      <w:r>
        <w:rPr>
          <w:rFonts w:ascii="Arial" w:cs="Arial" w:eastAsia="Arial" w:hAnsi="Arial"/>
        </w:rPr>
        <w:t xml:space="preserve">Vinmec Da Nang (hospital achievements): ranked 29th for gastroenterology in Newsweek &amp; Statista’s Best Specialized Hospitals Asia–Pacific 2026; 4 stars in Global Hospital Rating 2026; laboratory accredited to ISO 15189:2022 (VILAS Med 122).</w:t>
      </w:r>
    </w:p>
    <w:p>
      <w:pPr>
        <w:pStyle w:val="ListParagraph"/>
        <w:numPr>
          <w:ilvl w:val="0"/>
          <w:numId w:val="2"/>
        </w:numPr>
        <w:spacing w:after="70" w:line="290"/>
      </w:pPr>
      <w:r>
        <w:rPr>
          <w:rFonts w:ascii="Arial" w:cs="Arial" w:eastAsia="Arial" w:hAnsi="Arial"/>
        </w:rPr>
        <w:t xml:space="preserve">Long-term clinical, teaching and research collaboration with Professor Duong Quy Sy, President of the Vietnam Society of Sleep Medicine; international exchanges with Kameda Medical Center (Japan) and VitalLife Scientific Wellness Center, Bumrungrad (Thailand).</w:t>
      </w:r>
    </w:p>
    <w:p>
      <w:pPr>
        <w:pStyle w:val="ListParagraph"/>
        <w:numPr>
          <w:ilvl w:val="0"/>
          <w:numId w:val="2"/>
        </w:numPr>
        <w:spacing w:after="70" w:line="290"/>
      </w:pPr>
      <w:r>
        <w:rPr>
          <w:rFonts w:ascii="Arial" w:cs="Arial" w:eastAsia="Arial" w:hAnsi="Arial"/>
        </w:rPr>
        <w:t xml:space="preserve">Co-author, Sleep Medicine (2026): first multicentre Vietnamese study of home sleep testing for OSA screening in cardiometabolic patients. DOI 10.1016/j.sleep.2025.108073.</w:t>
      </w:r>
    </w:p>
    <w:p>
      <w:pPr>
        <w:pStyle w:val="ListParagraph"/>
        <w:numPr>
          <w:ilvl w:val="0"/>
          <w:numId w:val="2"/>
        </w:numPr>
        <w:spacing w:after="70" w:line="290"/>
      </w:pPr>
      <w:r>
        <w:rPr>
          <w:rFonts w:ascii="Arial" w:cs="Arial" w:eastAsia="Arial" w:hAnsi="Arial"/>
        </w:rPr>
        <w:t xml:space="preserve">Deputy Editor, Vietnam Journal of Diabetes and Endocrinology; Visiting Lecturer, Duy Tan University.</w:t>
      </w:r>
    </w:p>
    <w:p>
      <w:pPr>
        <w:pStyle w:val="Heading1"/>
        <w:spacing w:after="140" w:before="320"/>
      </w:pPr>
      <w:r>
        <w:rPr>
          <w:rFonts w:ascii="Arial" w:cs="Arial" w:eastAsia="Arial" w:hAnsi="Arial"/>
        </w:rPr>
        <w:t xml:space="preserve">6. Official digital identifiers</w:t>
      </w:r>
    </w:p>
    <w:p>
      <w:pPr>
        <w:pStyle w:val="ListParagraph"/>
        <w:numPr>
          <w:ilvl w:val="0"/>
          <w:numId w:val="2"/>
        </w:numPr>
        <w:spacing w:after="70" w:line="290"/>
      </w:pPr>
      <w:r>
        <w:rPr>
          <w:rFonts w:ascii="Arial" w:cs="Arial" w:eastAsia="Arial" w:hAnsi="Arial"/>
        </w:rPr>
        <w:t xml:space="preserve">Website: </w:t>
      </w:r>
      <w:hyperlink w:history="1" r:id="rId-y2rmaepzybsfmkgrz0dt">
        <w:r>
          <w:rPr>
            <w:rFonts w:ascii="Arial" w:cs="Arial" w:eastAsia="Arial" w:hAnsi="Arial"/>
            <w:color w:val="0C5F69"/>
            <w:u w:val="single"/>
          </w:rPr>
          <w:t xml:space="preserve">huutrungquach.com</w:t>
        </w:r>
      </w:hyperlink>
    </w:p>
    <w:p>
      <w:pPr>
        <w:pStyle w:val="ListParagraph"/>
        <w:numPr>
          <w:ilvl w:val="0"/>
          <w:numId w:val="2"/>
        </w:numPr>
        <w:spacing w:after="70" w:line="290"/>
      </w:pPr>
      <w:r>
        <w:rPr>
          <w:rFonts w:ascii="Arial" w:cs="Arial" w:eastAsia="Arial" w:hAnsi="Arial"/>
        </w:rPr>
        <w:t xml:space="preserve">ORCID: </w:t>
      </w:r>
      <w:hyperlink w:history="1" r:id="rIdzodfstqaeuearyb81uszu">
        <w:r>
          <w:rPr>
            <w:rFonts w:ascii="Arial" w:cs="Arial" w:eastAsia="Arial" w:hAnsi="Arial"/>
            <w:color w:val="0C5F69"/>
            <w:u w:val="single"/>
          </w:rPr>
          <w:t xml:space="preserve">orcid.org/0009-0005-3223-4295</w:t>
        </w:r>
      </w:hyperlink>
    </w:p>
    <w:p>
      <w:pPr>
        <w:pStyle w:val="ListParagraph"/>
        <w:numPr>
          <w:ilvl w:val="0"/>
          <w:numId w:val="2"/>
        </w:numPr>
        <w:spacing w:after="70" w:line="290"/>
      </w:pPr>
      <w:r>
        <w:rPr>
          <w:rFonts w:ascii="Arial" w:cs="Arial" w:eastAsia="Arial" w:hAnsi="Arial"/>
        </w:rPr>
        <w:t xml:space="preserve">Scopus Author ID: </w:t>
      </w:r>
      <w:hyperlink w:history="1" r:id="rIdta5kvpoilnvqvseajtwgj">
        <w:r>
          <w:rPr>
            <w:rFonts w:ascii="Arial" w:cs="Arial" w:eastAsia="Arial" w:hAnsi="Arial"/>
            <w:color w:val="0C5F69"/>
            <w:u w:val="single"/>
          </w:rPr>
          <w:t xml:space="preserve">www.scopus.com/authid/detail.uri?authorId=58864009700</w:t>
        </w:r>
      </w:hyperlink>
    </w:p>
    <w:p>
      <w:pPr>
        <w:pStyle w:val="ListParagraph"/>
        <w:numPr>
          <w:ilvl w:val="0"/>
          <w:numId w:val="2"/>
        </w:numPr>
        <w:spacing w:after="70" w:line="290"/>
      </w:pPr>
      <w:r>
        <w:rPr>
          <w:rFonts w:ascii="Arial" w:cs="Arial" w:eastAsia="Arial" w:hAnsi="Arial"/>
        </w:rPr>
        <w:t xml:space="preserve">Google Scholar: </w:t>
      </w:r>
      <w:hyperlink w:history="1" r:id="rIdhxovqvhkgm4lh8uh4iopt">
        <w:r>
          <w:rPr>
            <w:rFonts w:ascii="Arial" w:cs="Arial" w:eastAsia="Arial" w:hAnsi="Arial"/>
            <w:color w:val="0C5F69"/>
            <w:u w:val="single"/>
          </w:rPr>
          <w:t xml:space="preserve">scholar.google.com/citations?user=0kc4GnMAAAAJ</w:t>
        </w:r>
      </w:hyperlink>
    </w:p>
    <w:p>
      <w:pPr>
        <w:pStyle w:val="ListParagraph"/>
        <w:numPr>
          <w:ilvl w:val="0"/>
          <w:numId w:val="2"/>
        </w:numPr>
        <w:spacing w:after="70" w:line="290"/>
      </w:pPr>
      <w:r>
        <w:rPr>
          <w:rFonts w:ascii="Arial" w:cs="Arial" w:eastAsia="Arial" w:hAnsi="Arial"/>
        </w:rPr>
        <w:t xml:space="preserve">Wikidata: </w:t>
      </w:r>
      <w:hyperlink w:history="1" r:id="rId6hemnkge9pm4gxe6_ooxt">
        <w:r>
          <w:rPr>
            <w:rFonts w:ascii="Arial" w:cs="Arial" w:eastAsia="Arial" w:hAnsi="Arial"/>
            <w:color w:val="0C5F69"/>
            <w:u w:val="single"/>
          </w:rPr>
          <w:t xml:space="preserve">www.wikidata.org/wiki/Q141547064</w:t>
        </w:r>
      </w:hyperlink>
    </w:p>
    <w:p>
      <w:pPr>
        <w:pStyle w:val="ListParagraph"/>
        <w:numPr>
          <w:ilvl w:val="0"/>
          <w:numId w:val="2"/>
        </w:numPr>
        <w:spacing w:after="70" w:line="290"/>
      </w:pPr>
      <w:r>
        <w:rPr>
          <w:rFonts w:ascii="Arial" w:cs="Arial" w:eastAsia="Arial" w:hAnsi="Arial"/>
        </w:rPr>
        <w:t xml:space="preserve">LinkedIn: </w:t>
      </w:r>
      <w:hyperlink w:history="1" r:id="rId2b7nplvn8jl_pzxeacjxa">
        <w:r>
          <w:rPr>
            <w:rFonts w:ascii="Arial" w:cs="Arial" w:eastAsia="Arial" w:hAnsi="Arial"/>
            <w:color w:val="0C5F69"/>
            <w:u w:val="single"/>
          </w:rPr>
          <w:t xml:space="preserve">www.linkedin.com/in/huu-trung-quach-0219a2255</w:t>
        </w:r>
      </w:hyperlink>
    </w:p>
    <w:p>
      <w:pPr>
        <w:pStyle w:val="ListParagraph"/>
        <w:numPr>
          <w:ilvl w:val="0"/>
          <w:numId w:val="2"/>
        </w:numPr>
        <w:spacing w:after="70" w:line="290"/>
      </w:pPr>
      <w:r>
        <w:rPr>
          <w:rFonts w:ascii="Arial" w:cs="Arial" w:eastAsia="Arial" w:hAnsi="Arial"/>
        </w:rPr>
        <w:t xml:space="preserve">X: </w:t>
      </w:r>
      <w:hyperlink w:history="1" r:id="rIdc8lzf_shjcldibd2pus07">
        <w:r>
          <w:rPr>
            <w:rFonts w:ascii="Arial" w:cs="Arial" w:eastAsia="Arial" w:hAnsi="Arial"/>
            <w:color w:val="0C5F69"/>
            <w:u w:val="single"/>
          </w:rPr>
          <w:t xml:space="preserve">x.com/QuachHuuTrung</w:t>
        </w:r>
      </w:hyperlink>
    </w:p>
    <w:p>
      <w:pPr>
        <w:pStyle w:val="ListParagraph"/>
        <w:numPr>
          <w:ilvl w:val="0"/>
          <w:numId w:val="2"/>
        </w:numPr>
        <w:spacing w:after="70" w:line="290"/>
      </w:pPr>
      <w:r>
        <w:rPr>
          <w:rFonts w:ascii="Arial" w:cs="Arial" w:eastAsia="Arial" w:hAnsi="Arial"/>
        </w:rPr>
        <w:t xml:space="preserve">YouTube: </w:t>
      </w:r>
      <w:hyperlink w:history="1" r:id="rIdtcujmdw8cyzq48hxqdfzc">
        <w:r>
          <w:rPr>
            <w:rFonts w:ascii="Arial" w:cs="Arial" w:eastAsia="Arial" w:hAnsi="Arial"/>
            <w:color w:val="0C5F69"/>
            <w:u w:val="single"/>
          </w:rPr>
          <w:t xml:space="preserve">www.youtube.com/@QuachHuuTrung</w:t>
        </w:r>
      </w:hyperlink>
    </w:p>
    <w:p>
      <w:pPr>
        <w:pStyle w:val="ListParagraph"/>
        <w:numPr>
          <w:ilvl w:val="0"/>
          <w:numId w:val="2"/>
        </w:numPr>
        <w:spacing w:after="70" w:line="290"/>
      </w:pPr>
      <w:r>
        <w:rPr>
          <w:rFonts w:ascii="Arial" w:cs="Arial" w:eastAsia="Arial" w:hAnsi="Arial"/>
        </w:rPr>
        <w:t xml:space="preserve">Facebook: </w:t>
      </w:r>
      <w:hyperlink w:history="1" r:id="rId0nuuqtg2rspi26dqpselr">
        <w:r>
          <w:rPr>
            <w:rFonts w:ascii="Arial" w:cs="Arial" w:eastAsia="Arial" w:hAnsi="Arial"/>
            <w:color w:val="0C5F69"/>
            <w:u w:val="single"/>
          </w:rPr>
          <w:t xml:space="preserve">www.facebook.com/dr.huutrungquach</w:t>
        </w:r>
      </w:hyperlink>
    </w:p>
    <w:p>
      <w:pPr>
        <w:pStyle w:val="Heading1"/>
        <w:spacing w:after="140" w:before="320"/>
      </w:pPr>
      <w:r>
        <w:rPr>
          <w:rFonts w:ascii="Arial" w:cs="Arial" w:eastAsia="Arial" w:hAnsi="Arial"/>
        </w:rPr>
        <w:t xml:space="preserve">7. Usage notes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1F5" w:sz="4"/>
              <w:left w:val="single" w:color="0F7C8C" w:sz="24"/>
              <w:bottom w:val="single" w:color="E8F1F5" w:sz="4"/>
              <w:right w:val="single" w:color="E8F1F5" w:sz="4"/>
            </w:tcBorders>
            <w:shd w:fill="E8F1F5" w:color="auto" w:val="clear"/>
            <w:tcMar>
              <w:top w:type="dxa" w:w="130"/>
              <w:left w:type="dxa" w:w="220"/>
              <w:bottom w:type="dxa" w:w="130"/>
              <w:right w:type="dxa" w:w="220"/>
            </w:tcMar>
          </w:tcPr>
          <w:p>
            <w:pPr>
              <w:spacing w:after="80"/>
            </w:pPr>
            <w:r>
              <w:rPr>
                <w:rFonts w:ascii="Arial" w:cs="Arial" w:eastAsia="Arial" w:hAnsi="Arial"/>
                <w:b/>
                <w:bCs/>
                <w:color w:val="0F7C8C"/>
              </w:rPr>
              <w:t xml:space="preserve">For journalists, organisers and partners</w:t>
            </w:r>
          </w:p>
          <w:p>
            <w:pPr>
              <w:spacing w:after="60" w:line="290"/>
            </w:pPr>
            <w:r>
              <w:rPr>
                <w:rFonts w:ascii="Arial" w:cs="Arial" w:eastAsia="Arial" w:hAnsi="Arial"/>
                <w:sz w:val="20"/>
                <w:szCs w:val="20"/>
              </w:rPr>
              <w:t xml:space="preserve">• Preferred name: “Huu Trung Quach, MD, PhD”; in Vietnamese, “TTƯT. TS. BS Quách Hữu Trung”.</w:t>
            </w:r>
          </w:p>
          <w:p>
            <w:pPr>
              <w:spacing w:after="60" w:line="290"/>
            </w:pPr>
            <w:r>
              <w:rPr>
                <w:rFonts w:ascii="Arial" w:cs="Arial" w:eastAsia="Arial" w:hAnsi="Arial"/>
                <w:sz w:val="20"/>
                <w:szCs w:val="20"/>
              </w:rPr>
              <w:t xml:space="preserve">• Hospital rankings and accreditations belong to Vinmec Da Nang as an institution; please cite the year and the ranking or accrediting body.</w:t>
            </w:r>
          </w:p>
          <w:p>
            <w:pPr>
              <w:spacing w:after="60" w:line="290"/>
            </w:pPr>
            <w:r>
              <w:rPr>
                <w:rFonts w:ascii="Arial" w:cs="Arial" w:eastAsia="Arial" w:hAnsi="Arial"/>
                <w:sz w:val="20"/>
                <w:szCs w:val="20"/>
              </w:rPr>
              <w:t xml:space="preserve">• Please do not publish his year of birth. Official portrait available at huutrungquach.com.</w:t>
            </w:r>
          </w:p>
          <w:p>
            <w:pPr>
              <w:spacing w:after="60" w:line="290"/>
            </w:pPr>
            <w:r>
              <w:rPr>
                <w:rFonts w:ascii="Arial" w:cs="Arial" w:eastAsia="Arial" w:hAnsi="Arial"/>
                <w:sz w:val="20"/>
                <w:szCs w:val="20"/>
              </w:rPr>
              <w:t xml:space="preserve">• Personal views do not represent Vinmec Healthcare System.</w:t>
            </w:r>
          </w:p>
        </w:tc>
      </w:tr>
    </w:tbl>
    <w:sectPr>
      <w:headerReference w:type="default" r:id="rId6"/>
      <w:footerReference w:type="default" r:id="rId7"/>
      <w:pgSz w:w="11906" w:h="16838" w:orient="portrait"/>
      <w:pgMar w:top="1200" w:right="1440" w:bottom="12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6"/>
        <w:szCs w:val="16"/>
      </w:rPr>
      <w:t xml:space="preserve">Trang /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66666"/>
        <w:sz w:val="16"/>
        <w:szCs w:val="16"/>
      </w:rPr>
      <w:t xml:space="preserve">E-Press Kit · Huu Trung Quach, MD, PhD · huutrungquach.com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Arial" w:cs="Arial" w:eastAsia="Arial" w:hAnsi="Arial"/>
      <w:b/>
      <w:bCs/>
      <w:color w:val="1F3864"/>
      <w:sz w:val="28"/>
      <w:szCs w:val="28"/>
    </w:rPr>
  </w:style>
  <w:style w:type="paragraph" w:styleId="Heading2">
    <w:name w:val="Heading 2"/>
    <w:basedOn w:val="Normal"/>
    <w:next w:val="Normal"/>
    <w:qFormat/>
    <w:pPr>
      <w:keepNext/>
      <w:outlineLvl w:val="1"/>
    </w:pPr>
    <w:rPr>
      <w:rFonts w:ascii="Arial" w:cs="Arial" w:eastAsia="Arial" w:hAnsi="Arial"/>
      <w:b/>
      <w:bCs/>
      <w:color w:val="0F7C8C"/>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pprlmfkk8llofdd0x_udm" Type="http://schemas.openxmlformats.org/officeDocument/2006/relationships/hyperlink" Target="https://huutrungquach.com" TargetMode="External"/><Relationship Id="rIdy-uposov3cayufalrpj8s" Type="http://schemas.openxmlformats.org/officeDocument/2006/relationships/hyperlink" Target="https://danviet.vn/tsbs-quach-huu-trung-nguoi-gieo-hat-doi-moi-cho-y-te-mien-trung-va-hanh-trinh-tai-vinmec-da-nang-d1358977.html" TargetMode="External"/><Relationship Id="rIdc5bt5btnv_euukxcta1r6" Type="http://schemas.openxmlformats.org/officeDocument/2006/relationships/hyperlink" Target="https://vov.gov.vn/vinh-danh-15-nha-lanh-dao-chuyen-doi-so-tieu-bieu-nam-2024-dtnew-1034102" TargetMode="External"/><Relationship Id="rIdrmf1qcvn5iomjs4q1dbjy" Type="http://schemas.openxmlformats.org/officeDocument/2006/relationships/hyperlink" Target="https://benhvien199.vn/post/dai-ta-tien-si-quach-huu-trung-duoc-vinh-danh-la-lanh-dao-chuyen-doi-so-tieu-bieu_dt" TargetMode="External"/><Relationship Id="rIdowg25qiv73gwrwag5yd4l" Type="http://schemas.openxmlformats.org/officeDocument/2006/relationships/hyperlink" Target="https://www.vinmec.com/vie/bai-viet/thay-thuoc-uu-tu-ts-bs-quach-huu-trung-nguoi-tien-phong-dua-vinmec-da-nang-tro-thanh-benh-vien-thong-minh-nang-tam-cham-soc-suc-khoe-tai-mien-trung" TargetMode="External"/><Relationship Id="rIdn1kzbvfpq1ev7gielqtun" Type="http://schemas.openxmlformats.org/officeDocument/2006/relationships/hyperlink" Target="https://www.vinmec.com/vie/bai-viet/thay-thuoc-uu-tu-ts-bs-quach-huu-trung-nguoi-thay-truyen-lua-cho-the-he-bac-si-tre-tai-vinmec-da-nang" TargetMode="External"/><Relationship Id="rIdv-lciiux_q1h7esp-ixuq" Type="http://schemas.openxmlformats.org/officeDocument/2006/relationships/hyperlink" Target="https://www.vinmec.com/vie/chuyen-gia-y-te/quach-huu-trung" TargetMode="External"/><Relationship Id="rIdu6bjlcpkfbf5hzox9li7x" Type="http://schemas.openxmlformats.org/officeDocument/2006/relationships/hyperlink" Target="https://www.better.medicaltourism.com/article/meritorious-physician-ph-d-doctor-quach-huu-trung-review---a-visionary-leader-in-cardiovascular-and-hospital-management-at-vinmec-da-nang-hospital" TargetMode="External"/><Relationship Id="rIdx5a-ibfbxvgvcy86u9nyt" Type="http://schemas.openxmlformats.org/officeDocument/2006/relationships/hyperlink" Target="https://huutrungquach.com" TargetMode="External"/><Relationship Id="rId2vkhubtfbghg5tl5pd1nr" Type="http://schemas.openxmlformats.org/officeDocument/2006/relationships/hyperlink" Target="https://orcid.org/0009-0005-3223-4295" TargetMode="External"/><Relationship Id="rIdmhulb2zdyanyiamaobcmz" Type="http://schemas.openxmlformats.org/officeDocument/2006/relationships/hyperlink" Target="https://www.scopus.com/authid/detail.uri?authorId=58864009700" TargetMode="External"/><Relationship Id="rId6e5nvnfiohd_q0enoyudw" Type="http://schemas.openxmlformats.org/officeDocument/2006/relationships/hyperlink" Target="https://scholar.google.com/citations?user=0kc4GnMAAAAJ" TargetMode="External"/><Relationship Id="rId3bnyvej97gq-uijnpzrpw" Type="http://schemas.openxmlformats.org/officeDocument/2006/relationships/hyperlink" Target="https://www.wikidata.org/wiki/Q141547064" TargetMode="External"/><Relationship Id="rIdtpkjesnqk8sex-qzfk2ot" Type="http://schemas.openxmlformats.org/officeDocument/2006/relationships/hyperlink" Target="https://www.linkedin.com/in/huu-trung-quach-0219a2255" TargetMode="External"/><Relationship Id="rIdlz1zvskz0lrjxtkytnu0q" Type="http://schemas.openxmlformats.org/officeDocument/2006/relationships/hyperlink" Target="https://x.com/QuachHuuTrung" TargetMode="External"/><Relationship Id="rIdy6bcbhg0q32b11sxzhpg5" Type="http://schemas.openxmlformats.org/officeDocument/2006/relationships/hyperlink" Target="https://www.youtube.com/@QuachHuuTrung" TargetMode="External"/><Relationship Id="rIdklxvcsdirklyktlpoujkx" Type="http://schemas.openxmlformats.org/officeDocument/2006/relationships/hyperlink" Target="https://www.facebook.com/dr.huutrungquach" TargetMode="External"/><Relationship Id="rId-y2rmaepzybsfmkgrz0dt" Type="http://schemas.openxmlformats.org/officeDocument/2006/relationships/hyperlink" Target="https://huutrungquach.com" TargetMode="External"/><Relationship Id="rIdzodfstqaeuearyb81uszu" Type="http://schemas.openxmlformats.org/officeDocument/2006/relationships/hyperlink" Target="https://orcid.org/0009-0005-3223-4295" TargetMode="External"/><Relationship Id="rIdta5kvpoilnvqvseajtwgj" Type="http://schemas.openxmlformats.org/officeDocument/2006/relationships/hyperlink" Target="https://www.scopus.com/authid/detail.uri?authorId=58864009700" TargetMode="External"/><Relationship Id="rIdhxovqvhkgm4lh8uh4iopt" Type="http://schemas.openxmlformats.org/officeDocument/2006/relationships/hyperlink" Target="https://scholar.google.com/citations?user=0kc4GnMAAAAJ" TargetMode="External"/><Relationship Id="rId6hemnkge9pm4gxe6_ooxt" Type="http://schemas.openxmlformats.org/officeDocument/2006/relationships/hyperlink" Target="https://www.wikidata.org/wiki/Q141547064" TargetMode="External"/><Relationship Id="rId2b7nplvn8jl_pzxeacjxa" Type="http://schemas.openxmlformats.org/officeDocument/2006/relationships/hyperlink" Target="https://www.linkedin.com/in/huu-trung-quach-0219a2255" TargetMode="External"/><Relationship Id="rIdc8lzf_shjcldibd2pus07" Type="http://schemas.openxmlformats.org/officeDocument/2006/relationships/hyperlink" Target="https://x.com/QuachHuuTrung" TargetMode="External"/><Relationship Id="rIdtcujmdw8cyzq48hxqdfzc" Type="http://schemas.openxmlformats.org/officeDocument/2006/relationships/hyperlink" Target="https://www.youtube.com/@QuachHuuTrung" TargetMode="External"/><Relationship Id="rId0nuuqtg2rspi26dqpselr" Type="http://schemas.openxmlformats.org/officeDocument/2006/relationships/hyperlink" Target="https://www.facebook.com/dr.huutrungquach" TargetMode="External"/><Relationship Id="rId9" Type="http://schemas.openxmlformats.org/officeDocument/2006/relationships/image" Target="media/ec6202d511285823233b59b40f8f1396e1844d23.jp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E-Press Kit – Huu Trung Quach, MD, PhD</dc:title>
  <dc:creator>Huu Trung Quach</dc:creator>
  <cp:lastModifiedBy>Un-named</cp:lastModifiedBy>
  <cp:revision>1</cp:revision>
  <dcterms:created xsi:type="dcterms:W3CDTF">2026-10-22T06:37:45.550Z</dcterms:created>
  <dcterms:modified xsi:type="dcterms:W3CDTF">2026-10-22T06:37:45.552Z</dcterms:modified>
</cp:coreProperties>
</file>

<file path=docProps/custom.xml><?xml version="1.0" encoding="utf-8"?>
<Properties xmlns="http://schemas.openxmlformats.org/officeDocument/2006/custom-properties" xmlns:vt="http://schemas.openxmlformats.org/officeDocument/2006/docPropsVTypes"/>
</file>